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B3CAF" w:rsidR="00A24FFC" w:rsidP="00FB3CAF" w:rsidRDefault="00E87601" w14:paraId="6C6EB4F3" w14:textId="77777777">
      <w:pPr>
        <w:pStyle w:val="1"/>
        <w:spacing w:line="360" w:lineRule="exact"/>
        <w:rPr>
          <w:rFonts w:ascii="新細明體" w:hAnsi="新細明體" w:eastAsia="新細明體" w:cs="新細明體"/>
          <w:color w:val="000000"/>
        </w:rPr>
      </w:pPr>
      <w:bookmarkStart w:name="Std_Type2" w:id="0"/>
      <w:r w:rsidRPr="00F6439B">
        <w:rPr>
          <w:rFonts w:hint="eastAsia" w:ascii="新細明體" w:hAnsi="新細明體" w:eastAsia="新細明體" w:cs="新細明體"/>
          <w:color w:val="000000"/>
        </w:rPr>
        <w:t>證券商內部控制制度標準規範</w:t>
      </w:r>
      <w:bookmarkEnd w:id="0"/>
      <w:proofErr w:type="gramStart"/>
      <w:r w:rsidRPr="00F6439B">
        <w:rPr>
          <w:rFonts w:hint="eastAsia" w:ascii="新細明體" w:hAnsi="新細明體" w:eastAsia="新細明體" w:cs="新細明體"/>
          <w:color w:val="000000"/>
        </w:rPr>
        <w:t>─</w:t>
      </w:r>
      <w:proofErr w:type="gramEnd"/>
      <w:r w:rsidRPr="00F6439B">
        <w:rPr>
          <w:rFonts w:hint="eastAsia" w:ascii="新細明體" w:hAnsi="新細明體" w:eastAsia="新細明體" w:cs="新細明體"/>
          <w:color w:val="000000"/>
        </w:rPr>
        <w:t>內部控制制度修</w:t>
      </w:r>
      <w:r w:rsidRPr="00F6439B" w:rsidR="00D25C08">
        <w:rPr>
          <w:rFonts w:hint="eastAsia" w:ascii="新細明體" w:hAnsi="新細明體" w:eastAsia="新細明體" w:cs="新細明體"/>
          <w:color w:val="000000"/>
        </w:rPr>
        <w:t>正</w:t>
      </w:r>
      <w:r w:rsidRPr="00F6439B">
        <w:rPr>
          <w:rFonts w:hint="eastAsia" w:ascii="新細明體" w:hAnsi="新細明體" w:eastAsia="新細明體" w:cs="新細明體"/>
          <w:color w:val="000000"/>
        </w:rPr>
        <w:t>對照表</w:t>
      </w:r>
      <w:bookmarkStart w:name="Article_Eff_Date" w:id="1"/>
      <w:r w:rsidRPr="0031289E" w:rsidR="0031289E">
        <w:rPr>
          <w:rFonts w:hint="eastAsia" w:ascii="新細明體" w:hAnsi="新細明體" w:eastAsia="新細明體" w:cs="新細明體"/>
          <w:color w:val="000000"/>
        </w:rPr>
        <w:t>草案</w:t>
      </w:r>
      <w:bookmarkEnd w:id="1"/>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384"/>
        <w:gridCol w:w="1276"/>
        <w:gridCol w:w="5386"/>
        <w:gridCol w:w="5387"/>
        <w:gridCol w:w="2023"/>
      </w:tblGrid>
      <w:tr w:rsidRPr="00F6439B" w:rsidR="001E533B" w:rsidTr="004A29F0" w14:paraId="5B8288D9" w14:textId="77777777">
        <w:trPr>
          <w:tblHeader/>
        </w:trPr>
        <w:tc>
          <w:tcPr>
            <w:tcW w:w="1384" w:type="dxa"/>
            <w:tcBorders>
              <w:top w:val="single" w:color="auto" w:sz="12" w:space="0"/>
              <w:left w:val="single" w:color="auto" w:sz="12" w:space="0"/>
              <w:bottom w:val="single" w:color="auto" w:sz="12" w:space="0"/>
            </w:tcBorders>
            <w:shd w:val="clear" w:color="auto" w:fill="auto"/>
          </w:tcPr>
          <w:p w:rsidRPr="00F6439B" w:rsidR="001E533B" w:rsidP="00F6439B" w:rsidRDefault="00FB3CAF" w14:paraId="6E20BAD9" w14:textId="77777777">
            <w:pPr>
              <w:jc w:val="center"/>
              <w:rPr>
                <w:rFonts w:ascii="新細明體" w:hAnsi="新細明體" w:eastAsia="新細明體"/>
              </w:rPr>
            </w:pPr>
            <w:r w:rsidRPr="00F6439B">
              <w:rPr>
                <w:rFonts w:hint="eastAsia" w:ascii="新細明體" w:hAnsi="新細明體" w:eastAsia="新細明體"/>
              </w:rPr>
              <w:t>編號</w:t>
            </w:r>
          </w:p>
        </w:tc>
        <w:tc>
          <w:tcPr>
            <w:tcW w:w="1276" w:type="dxa"/>
            <w:tcBorders>
              <w:top w:val="single" w:color="auto" w:sz="12" w:space="0"/>
              <w:bottom w:val="single" w:color="auto" w:sz="12" w:space="0"/>
            </w:tcBorders>
            <w:shd w:val="clear" w:color="auto" w:fill="auto"/>
          </w:tcPr>
          <w:p w:rsidRPr="00F6439B" w:rsidR="00A24FFC" w:rsidP="001E533B" w:rsidRDefault="001E533B" w14:paraId="78ACF850" w14:textId="77777777">
            <w:pPr>
              <w:rPr>
                <w:rFonts w:ascii="新細明體" w:hAnsi="新細明體" w:eastAsia="新細明體"/>
              </w:rPr>
            </w:pPr>
            <w:r w:rsidRPr="00F6439B">
              <w:rPr>
                <w:rFonts w:hint="eastAsia" w:ascii="新細明體" w:hAnsi="新細明體" w:eastAsia="新細明體"/>
              </w:rPr>
              <w:t>作業項目</w:t>
            </w:r>
          </w:p>
        </w:tc>
        <w:tc>
          <w:tcPr>
            <w:tcW w:w="5386" w:type="dxa"/>
            <w:tcBorders>
              <w:top w:val="single" w:color="auto" w:sz="12" w:space="0"/>
              <w:bottom w:val="single" w:color="auto" w:sz="12" w:space="0"/>
            </w:tcBorders>
            <w:shd w:val="clear" w:color="auto" w:fill="auto"/>
          </w:tcPr>
          <w:p w:rsidRPr="00F6439B" w:rsidR="00A24FFC" w:rsidP="00F6439B" w:rsidRDefault="001E533B" w14:paraId="1EBEFB0B" w14:textId="77777777">
            <w:pPr>
              <w:jc w:val="center"/>
              <w:rPr>
                <w:rFonts w:ascii="新細明體" w:hAnsi="新細明體" w:eastAsia="新細明體"/>
              </w:rPr>
            </w:pPr>
            <w:r w:rsidRPr="00F6439B">
              <w:rPr>
                <w:rFonts w:hint="eastAsia" w:ascii="新細明體" w:hAnsi="新細明體" w:eastAsia="新細明體" w:cs="新細明體"/>
                <w:color w:val="000000"/>
              </w:rPr>
              <w:t>修正後內容</w:t>
            </w:r>
          </w:p>
        </w:tc>
        <w:tc>
          <w:tcPr>
            <w:tcW w:w="5387" w:type="dxa"/>
            <w:tcBorders>
              <w:top w:val="single" w:color="auto" w:sz="12" w:space="0"/>
              <w:bottom w:val="single" w:color="auto" w:sz="12" w:space="0"/>
            </w:tcBorders>
            <w:shd w:val="clear" w:color="auto" w:fill="auto"/>
          </w:tcPr>
          <w:p w:rsidRPr="00F6439B" w:rsidR="00A24FFC" w:rsidP="00F6439B" w:rsidRDefault="001E533B" w14:paraId="1FB190B7" w14:textId="77777777">
            <w:pPr>
              <w:jc w:val="center"/>
              <w:rPr>
                <w:rFonts w:ascii="新細明體" w:hAnsi="新細明體" w:eastAsia="新細明體"/>
              </w:rPr>
            </w:pPr>
            <w:r w:rsidRPr="00F6439B">
              <w:rPr>
                <w:rFonts w:hint="eastAsia" w:ascii="新細明體" w:hAnsi="新細明體" w:eastAsia="新細明體" w:cs="新細明體"/>
                <w:color w:val="000000"/>
              </w:rPr>
              <w:t>修正前內容</w:t>
            </w:r>
          </w:p>
        </w:tc>
        <w:tc>
          <w:tcPr>
            <w:tcW w:w="2023" w:type="dxa"/>
            <w:tcBorders>
              <w:top w:val="single" w:color="auto" w:sz="12" w:space="0"/>
              <w:bottom w:val="single" w:color="auto" w:sz="12" w:space="0"/>
              <w:right w:val="single" w:color="auto" w:sz="12" w:space="0"/>
            </w:tcBorders>
            <w:shd w:val="clear" w:color="auto" w:fill="auto"/>
          </w:tcPr>
          <w:p w:rsidRPr="00F6439B" w:rsidR="00A24FFC" w:rsidP="00F6439B" w:rsidRDefault="00C904D3" w14:paraId="7A098D66" w14:textId="77777777">
            <w:pPr>
              <w:jc w:val="center"/>
              <w:rPr>
                <w:rFonts w:ascii="新細明體" w:hAnsi="新細明體" w:eastAsia="新細明體"/>
              </w:rPr>
            </w:pPr>
            <w:r w:rsidRPr="00F6439B">
              <w:rPr>
                <w:rFonts w:hint="eastAsia" w:ascii="新細明體" w:hAnsi="新細明體" w:eastAsia="新細明體" w:cs="新細明體"/>
                <w:color w:val="000000"/>
              </w:rPr>
              <w:t>修正說明</w:t>
            </w:r>
          </w:p>
        </w:tc>
      </w:tr>
      <w:tr w:rsidRPr="00F6439B" w:rsidR="003B3105" w14:paraId="6F801B14" w14:textId="77777777">
        <w:tc>
          <w:tcPr>
            <w:tcW w:w="1384" w:type="dxa"/>
            <w:vMerge w:val="restart"/>
            <w:tcBorders>
              <w:top w:val="single" w:color="auto" w:sz="12" w:space="0"/>
              <w:left w:val="single" w:color="auto" w:sz="12" w:space="0"/>
            </w:tcBorders>
            <w:shd w:val="clear" w:color="auto" w:fill="auto"/>
          </w:tcPr>
          <w:p w:rsidRPr="00F6439B" w:rsidR="003B3105" w:rsidP="001E533B" w:rsidRDefault="003B3105" w14:paraId="39C8E458" w14:textId="3C93645F">
            <w:pPr>
              <w:rPr>
                <w:rFonts w:ascii="新細明體" w:hAnsi="新細明體" w:eastAsia="新細明體"/>
              </w:rPr>
            </w:pPr>
            <w:r>
              <w:rPr>
                <w:rFonts w:hint="eastAsia" w:ascii="新細明體" w:hAnsi="新細明體" w:eastAsia="新細明體"/>
              </w:rPr>
              <w:t>CA-11110</w:t>
            </w:r>
          </w:p>
        </w:tc>
        <w:tc>
          <w:tcPr>
            <w:tcW w:w="1276" w:type="dxa"/>
            <w:vMerge w:val="restart"/>
            <w:tcBorders>
              <w:top w:val="single" w:color="auto" w:sz="12" w:space="0"/>
            </w:tcBorders>
            <w:shd w:val="clear" w:color="auto" w:fill="auto"/>
          </w:tcPr>
          <w:p w:rsidRPr="00F6439B" w:rsidR="003B3105" w:rsidP="001E533B" w:rsidRDefault="003B3105" w14:paraId="6AECD2F1" w14:textId="77777777">
            <w:pPr>
              <w:rPr>
                <w:rFonts w:ascii="新細明體" w:hAnsi="新細明體" w:eastAsia="新細明體"/>
              </w:rPr>
            </w:pPr>
            <w:r>
              <w:rPr>
                <w:rFonts w:hint="eastAsia" w:ascii="新細明體" w:hAnsi="新細明體" w:eastAsia="新細明體"/>
              </w:rPr>
              <w:t>普通交易帳戶：開戶手續及審核作業</w:t>
            </w:r>
          </w:p>
        </w:tc>
        <w:tc>
          <w:tcPr>
            <w:tcW w:w="5386" w:type="dxa"/>
            <w:tcBorders>
              <w:top w:val="single" w:color="auto" w:sz="12" w:space="0"/>
              <w:bottom w:val="nil"/>
            </w:tcBorders>
            <w:shd w:val="clear" w:color="auto" w:fill="auto"/>
          </w:tcPr>
          <w:p w:rsidRPr="003B3105" w:rsidR="003B3105" w:rsidP="003B3105" w:rsidRDefault="003B3105" w14:paraId="1A6552A0" w14:textId="77777777">
            <w:pPr>
              <w:spacing w:line="360" w:lineRule="exact"/>
              <w:rPr>
                <w:rFonts w:ascii="新細明體" w:hAnsi="新細明體" w:eastAsia="新細明體" w:cs="Times New Roman"/>
              </w:rPr>
            </w:pPr>
            <w:r w:rsidRPr="00F6439B">
              <w:rPr>
                <w:rFonts w:hint="eastAsia" w:ascii="新細明體" w:hAnsi="新細明體" w:eastAsia="新細明體" w:cs="新細明體"/>
              </w:rPr>
              <w:t>作業程序及控制重點：</w:t>
            </w:r>
          </w:p>
        </w:tc>
        <w:tc>
          <w:tcPr>
            <w:tcW w:w="5387" w:type="dxa"/>
            <w:tcBorders>
              <w:top w:val="single" w:color="auto" w:sz="12" w:space="0"/>
              <w:bottom w:val="nil"/>
            </w:tcBorders>
            <w:shd w:val="clear" w:color="auto" w:fill="auto"/>
          </w:tcPr>
          <w:p w:rsidRPr="003B3105" w:rsidR="003B3105" w:rsidP="003B3105" w:rsidRDefault="003B3105" w14:paraId="3C1F8D55" w14:textId="77777777">
            <w:pPr>
              <w:spacing w:line="360" w:lineRule="exact"/>
              <w:rPr>
                <w:rFonts w:ascii="新細明體" w:hAnsi="新細明體" w:eastAsia="新細明體" w:cs="Times New Roman"/>
              </w:rPr>
            </w:pPr>
            <w:r w:rsidRPr="00F6439B">
              <w:rPr>
                <w:rFonts w:hint="eastAsia" w:ascii="新細明體" w:hAnsi="新細明體" w:eastAsia="新細明體" w:cs="新細明體"/>
              </w:rPr>
              <w:t>作業程序及控制重點：</w:t>
            </w:r>
          </w:p>
        </w:tc>
        <w:tc>
          <w:tcPr>
            <w:tcW w:w="2023" w:type="dxa"/>
            <w:vMerge w:val="restart"/>
            <w:tcBorders>
              <w:top w:val="single" w:color="auto" w:sz="12" w:space="0"/>
              <w:right w:val="single" w:color="auto" w:sz="12" w:space="0"/>
            </w:tcBorders>
            <w:shd w:val="clear" w:color="auto" w:fill="auto"/>
          </w:tcPr>
          <w:p w:rsidRPr="00F6439B" w:rsidR="003B3105" w:rsidP="003B3105" w:rsidRDefault="003B3105" w14:paraId="217DBB1D" w14:textId="77777777">
            <w:pPr>
              <w:spacing w:line="360" w:lineRule="exact"/>
              <w:ind w:left="28" w:right="28"/>
              <w:rPr>
                <w:rFonts w:ascii="新細明體" w:hAnsi="新細明體" w:eastAsia="新細明體"/>
              </w:rPr>
            </w:pPr>
            <w:r>
              <w:rPr>
                <w:rFonts w:hint="eastAsia" w:ascii="新細明體" w:hAnsi="新細明體" w:eastAsia="新細明體" w:cs="Times New Roman"/>
                <w:color w:val="FF0000"/>
                <w:spacing w:val="20"/>
                <w:szCs w:val="20"/>
                <w:u w:val="single"/>
              </w:rPr>
              <w:t>一、配合證交所「營業細則」第75條之1及「證券經紀商受託契約準則」第3條規定修正，增訂客戶為自然人非屬境內華僑之無戶籍國民者之開戶規定，爰予修正。
二、配合證券商設置標準修訂，開放證券商得設置簡易分支機構或將一般分支機構變更為簡易分支機構，爰修正之。
三、考量現行證交所「營業細則」第75-1條規定，委託人得採通信或電子化方式辦理開戶及銷戶作業，為因應無紙化趨勢及提升作業效率，比照相關規定，放寬本項作業得以電子化方式辦理。</w:t>
            </w: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(一)</w:t>
            </w:r>
            <w:r>
              <w:rPr>
                <w:rFonts w:hint="eastAsia" w:ascii="新細明體" w:hAnsi="新細明體" w:eastAsia="新細明體" w:cs="新細明體"/>
              </w:rPr>
              <w:t>客戶部分：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(一)</w:t>
            </w:r>
            <w:r>
              <w:rPr>
                <w:rFonts w:hint="eastAsia" w:ascii="新細明體" w:hAnsi="新細明體" w:eastAsia="新細明體" w:cs="新細明體"/>
              </w:rPr>
              <w:t>客戶部分：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客戶為自然人者，應親持身分證正本、印章及其他開戶所需相關證明文件辦理委託買賣證券受託契約(以下簡稱開戶契約)之簽訂，並親自簽訂開戶契約及詳實填具客戶自填徵信資料表，且當場於開戶契約簽章。但客戶為無行為能力人、限制行為能力人或受輔助宣告之人者，應由其法定代理人、監護人或輔助人親持本人及客戶之身分證正本辦理開戶，除於開戶契約註明親屬關係外，並應當場簽章，如客戶尚未領取身分證時，得以戶口名簿或戶籍謄本擇一辦理；監護人或輔助人並應檢附其為監護人或輔助人之證明文件。</w:t>
            </w:r>
            <w:r>
              <w:rPr>
                <w:rFonts w:hint="eastAsia" w:ascii="新細明體" w:hAnsi="新細明體" w:eastAsia="新細明體" w:cs="新細明體"/>
                <w:b/>
                <w:u w:val="single"/>
                <w:color w:val="FF0000 "/>
              </w:rPr>
              <w:t>另客戶為非屬境內華僑之無戶籍國民者，應親持足資證明無戶籍國民之臺灣地區居留證，並檢附我國護照或其他足資證明具有我國國籍之文件及其他具辨識力之身分證明文件(如健保卡、駕照或學生證等)辦理開戶並當場簽章。</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客戶為自然人者，應親持身分證正本、印章及其他開戶所需相關證明文件辦理委託買賣證券受託契約(以下簡稱開戶契約)之簽訂，並親自簽訂開戶契約及詳實填具客戶自填徵信資料表，且當場於開戶契約簽章。但客戶為無行為能力人、限制行為能力人或受輔助宣告之人者，應由其法定代理人、監護人或輔助人親持本人及客戶之身分證正本辦理開戶，除於開戶契約註明親屬關係外，並應當場簽章，如客戶尚未領取身分證時，得以戶口名簿或戶籍謄本擇一辦理；監護人或輔助人並應檢附其為監護人或輔助人之證明文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99"/>
            </w:pPr>
            <w:r>
              <w:rPr>
                <w:rFonts w:hint="eastAsia" w:ascii="新細明體" w:hAnsi="新細明體" w:eastAsia="新細明體" w:cs="新細明體"/>
              </w:rPr>
              <w:t>客戶採通信或電子化方式辦理開戶者，應依「證券商受理線上開戶委託人身分認證及額度分級管理標準」規定辦理。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99"/>
            </w:pPr>
            <w:r>
              <w:rPr>
                <w:rFonts w:hint="eastAsia" w:ascii="新細明體" w:hAnsi="新細明體" w:eastAsia="新細明體" w:cs="新細明體"/>
              </w:rPr>
              <w:t>客戶採通信或電子化方式辦理開戶者，應依「證券商受理線上開戶委託人身分認證及額度分級管理標準」規定辦理。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客戶為法人者，由法人及其法定代表人在開戶契約上簽章，並由被授權人檢附法人登記證明文件影本、稅捐機構發給之設立扣繳單位編配統一編號通知單影本(若屬營利事業得免檢附上開通知單影本)、授權書暨法人之法定代表人及被授權人身分證影本辦理。但依本國公司法登記股東為3人以下之公司，且其負責人及股東均為本國國籍成年自然人，得採通信或電子化方式辦理開戶並準用「證券商受理線上開戶委託人身分認證及額度分級管理標準」規定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客戶為法人者，由法人及其法定代表人在開戶契約上簽章，並由被授權人檢附法人登記證明文件影本、稅捐機構發給之設立扣繳單位編配統一編號通知單影本(若屬營利事業得免檢附上開通知單影本)、授權書暨法人之法定代表人及被授權人身分證影本辦理。但依本國公司法登記股東為3人以下之公司，且其負責人及股東均為本國國籍成年自然人，得採通信或電子化方式辦理開戶並準用「證券商受理線上開戶委託人身分認證及額度分級管理標準」規定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99"/>
            </w:pPr>
            <w:r>
              <w:rPr>
                <w:rFonts w:hint="eastAsia" w:ascii="新細明體" w:hAnsi="新細明體" w:eastAsia="新細明體" w:cs="新細明體"/>
              </w:rPr>
              <w:t>客戶為非法人團體者，應以其負責人之個人名義開戶，將團體名稱併列於戶名內，並由其負責人檢附主管機關登記證照(或核准成立、備案或其他登錄證明之文件)影本、稅捐機構發給之設立扣繳單位編配統一編號通知單影本（如係免扣繳所得稅者，須另附「所得稅免扣繳證明」乙份）及負責人身分證影本辦理。身分碼為185，以與其他帳戶所有區隔。公司受理非法人團體開戶、徵信及評估買賣額度時，應確實依「中華民國證券商業同業公會會員辦理受託買賣業務瞭解委託人及徵信與額度管理自律規則」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99"/>
            </w:pPr>
            <w:r>
              <w:rPr>
                <w:rFonts w:hint="eastAsia" w:ascii="新細明體" w:hAnsi="新細明體" w:eastAsia="新細明體" w:cs="新細明體"/>
              </w:rPr>
              <w:t>客戶為非法人團體者，應以其負責人之個人名義開戶，將團體名稱併列於戶名內，並由其負責人檢附主管機關登記證照(或核准成立、備案或其他登錄證明之文件)影本、稅捐機構發給之設立扣繳單位編配統一編號通知單影本（如係免扣繳所得稅者，須另附「所得稅免扣繳證明」乙份）及負責人身分證影本辦理。身分碼為185，以與其他帳戶所有區隔。公司受理非法人團體開戶、徵信及評估買賣額度時，應確實依「中華民國證券商業同業公會會員辦理受託買賣業務瞭解委託人及徵信與額度管理自律規則」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客戶除為無行為能力者、限制行為能力者、全權委託投資信託或投資顧問事業之投資者、境外華僑或外國人、大陸人士、法人及法人派駐國外工作者，得經法定代理人或客戶出具委任書，由代理人辦理開戶外，一律須由本人親自辦理開戶。至證券商之董事、監察人及受僱人，除為客戶之法定代理人或監護人者外，不得代理客戶開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客戶除為無行為能力者、限制行為能力者、全權委託投資信託或投資顧問事業之投資者、境外華僑或外國人、大陸人士、法人及法人派駐國外工作者，得經法定代理人或客戶出具委任書，由代理人辦理開戶外，一律須由本人親自辦理開戶。至證券商之董事、監察人及受僱人，除為客戶之法定代理人或監護人者外，不得代理客戶開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上開客戶或其法定代理人或被授權人於簽訂開戶契約時，應留存客戶本人或其法定代理人或被授權人印鑑卡或簽名樣式卡，其中境外華僑及外國人在臺代理人及保管機構為同一人者，得以該保管機構之代理開戶暨交割專用章為其留存印鑑。（註：代理人當面委託買賣、申購有價證券或辦理交割相關手續，應留存代理人印鑑卡或簽名樣式卡憑以辦理）。客戶以電子化方式申請線上開戶者，得暫緩留存客戶印鑑卡或簽名樣式卡，待客戶有當面委託買賣、申購有價證券或辦理交割相關手續之實際需要時，再臨櫃至公司營業處所，留存客戶本人印鑑卡或簽名樣式卡。</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上開客戶或其法定代理人或被授權人於簽訂開戶契約時，應留存客戶本人或其法定代理人或被授權人印鑑卡或簽名樣式卡，其中境外華僑及外國人在臺代理人及保管機構為同一人者，得以該保管機構之代理開戶暨交割專用章為其留存印鑑。（註：代理人當面委託買賣、申購有價證券或辦理交割相關手續，應留存代理人印鑑卡或簽名樣式卡憑以辦理）。客戶以電子化方式申請線上開戶者，得暫緩留存客戶印鑑卡或簽名樣式卡，待客戶有當面委託買賣、申購有價證券或辦理交割相關手續之實際需要時，再臨櫃至公司營業處所，留存客戶本人印鑑卡或簽名樣式卡。</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客戶為境外法人及自然人，其保管銀行與公司均具網路認證機制者，開戶事宜得由保管銀行與公司以電子化方式辦理；以電子化方式傳輸之開戶文件範圍，除受託買賣契約書外，應包含授權書、公司登記(或變更登記)後之證明文件影本、代表人及被授權人國民身分證、同尺寸比例之印鑑卡原本及證券規章規定應檢附之其他文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客戶為境外法人及自然人，其保管銀行與公司均具網路認證機制者，開戶事宜得由保管銀行與公司以電子化方式辦理；以電子化方式傳輸之開戶文件範圍，除受託買賣契約書外，應包含授權書、公司登記(或變更登記)後之證明文件影本、代表人及被授權人國民身分證、同尺寸比例之印鑑卡原本及證券規章規定應檢附之其他文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6.</w:t>
            </w:r>
            <w:r>
              <w:rPr>
                <w:rFonts w:hint="eastAsia" w:ascii="新細明體" w:hAnsi="新細明體" w:eastAsia="新細明體" w:cs="新細明體"/>
              </w:rPr>
              <w:t>客戶應簽訂「電子式交易帳戶委託買賣有價證券同意書」後始得以電子式交易委託買賣。除網際網路交易客戶得採經電子憑證認證之網際網路方式簽訂「電子式交易帳戶委託買賣有價證券同意書」外，餘均應以紙本方式簽訂之。對於上開申請採電子式交易型態之客戶，得以一般電子方式交付電子密碼條或自訂交付電子密碼條方式，並依下列說明辦理：(1)、(2)、(3)適用於一般電子方式，(4)、(5)、(6)、(7)適用於自訂交付方式</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6.</w:t>
            </w:r>
            <w:r>
              <w:rPr>
                <w:rFonts w:hint="eastAsia" w:ascii="新細明體" w:hAnsi="新細明體" w:eastAsia="新細明體" w:cs="新細明體"/>
              </w:rPr>
              <w:t>客戶應簽訂「電子式交易帳戶委託買賣有價證券同意書」後始得以電子式交易委託買賣。除網際網路交易客戶得採經電子憑證認證之網際網路方式簽訂「電子式交易帳戶委託買賣有價證券同意書」外，餘均應以紙本方式簽訂之。對於上開申請採電子式交易型態之客戶，得以一般電子方式交付電子密碼條或自訂交付電子密碼條方式，並依下列說明辦理：(1)、(2)、(3)適用於一般電子方式，(4)、(5)、(6)、(7)適用於自訂交付方式</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客戶應於聲明書中聲明同意以電子方式交付電子密碼條。</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客戶應於聲明書中聲明同意以電子方式交付電子密碼條。</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應確實辨認客戶身分，並確認其手機號碼及電子信箱為本人使用。</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應確實辨認客戶身分，並確認其手機號碼及電子信箱為本人使用。</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傳送OTP(One Time Password)密碼至客戶開戶留存之手機號碼，及將加密後之電子密碼條以電子方式傳送至客戶留存之電子信箱，客戶需以OTP密碼解密方能取得密碼，此流程相關系統紀錄應留存。</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傳送OTP(One Time Password)密碼至客戶開戶留存之手機號碼，及將加密後之電子密碼條以電子方式傳送至客戶留存之電子信箱，客戶需以OTP密碼解密方能取得密碼，此流程相關系統紀錄應留存。</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應訂定交付電子式交易密碼之作業程序。</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應訂定交付電子式交易密碼之作業程序。</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(5)</w:t>
            </w:r>
            <w:r>
              <w:rPr>
                <w:rFonts w:hint="eastAsia" w:ascii="新細明體" w:hAnsi="新細明體" w:eastAsia="新細明體" w:cs="新細明體"/>
              </w:rPr>
              <w:t>應確實辨認電子式交易密碼交付對象為本人並留存相關紀錄。</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(5)</w:t>
            </w:r>
            <w:r>
              <w:rPr>
                <w:rFonts w:hint="eastAsia" w:ascii="新細明體" w:hAnsi="新細明體" w:eastAsia="新細明體" w:cs="新細明體"/>
              </w:rPr>
              <w:t>應確實辨認電子式交易密碼交付對象為本人並留存相關紀錄。</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(6)</w:t>
            </w:r>
            <w:r>
              <w:rPr>
                <w:rFonts w:hint="eastAsia" w:ascii="新細明體" w:hAnsi="新細明體" w:eastAsia="新細明體" w:cs="新細明體"/>
              </w:rPr>
              <w:t>應訂定電子式交易密碼交付流程與安全控管機制相關內部控制制度(含內部稽核實施細則)。(註：請公司自訂)</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(6)</w:t>
            </w:r>
            <w:r>
              <w:rPr>
                <w:rFonts w:hint="eastAsia" w:ascii="新細明體" w:hAnsi="新細明體" w:eastAsia="新細明體" w:cs="新細明體"/>
              </w:rPr>
              <w:t>應訂定電子式交易密碼交付流程與安全控管機制相關內部控制制度(含內部稽核實施細則)。(註：請公司自訂)</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(7)</w:t>
            </w:r>
            <w:r>
              <w:rPr>
                <w:rFonts w:hint="eastAsia" w:ascii="新細明體" w:hAnsi="新細明體" w:eastAsia="新細明體" w:cs="新細明體"/>
              </w:rPr>
              <w:t>密碼管理依「建立證券商資通安全檢查機制」之規定辦理。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(7)</w:t>
            </w:r>
            <w:r>
              <w:rPr>
                <w:rFonts w:hint="eastAsia" w:ascii="新細明體" w:hAnsi="新細明體" w:eastAsia="新細明體" w:cs="新細明體"/>
              </w:rPr>
              <w:t>密碼管理依「建立證券商資通安全檢查機制」之規定辦理。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7.</w:t>
            </w:r>
            <w:r>
              <w:rPr>
                <w:rFonts w:hint="eastAsia" w:ascii="新細明體" w:hAnsi="新細明體" w:eastAsia="新細明體" w:cs="新細明體"/>
              </w:rPr>
              <w:t>客戶在證券商營業處所初次與公司自營部門議價買賣股票者，若前已於開戶櫃檯簽訂「櫃檯買賣開戶契約」者，無庸再行辦理簽約手續。若客戶未曾簽訂「櫃檯買賣開戶契約」者，應先依規定與客戶辦妥開戶手續後方可進行交易。</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7.</w:t>
            </w:r>
            <w:r>
              <w:rPr>
                <w:rFonts w:hint="eastAsia" w:ascii="新細明體" w:hAnsi="新細明體" w:eastAsia="新細明體" w:cs="新細明體"/>
              </w:rPr>
              <w:t>客戶在證券商營業處所初次與公司自營部門議價買賣股票者，若前已於開戶櫃檯簽訂「櫃檯買賣開戶契約」者，無庸再行辦理簽約手續。若客戶未曾簽訂「櫃檯買賣開戶契約」者，應先依規定與客戶辦妥開戶手續後方可進行交易。</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8.</w:t>
            </w:r>
            <w:r>
              <w:rPr>
                <w:rFonts w:hint="eastAsia" w:ascii="新細明體" w:hAnsi="新細明體" w:eastAsia="新細明體" w:cs="新細明體"/>
              </w:rPr>
              <w:t>客戶應檢附金融機構防制洗錢辦法規定辨識其(含實質受益人)身分之必要文件。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8.</w:t>
            </w:r>
            <w:r>
              <w:rPr>
                <w:rFonts w:hint="eastAsia" w:ascii="新細明體" w:hAnsi="新細明體" w:eastAsia="新細明體" w:cs="新細明體"/>
              </w:rPr>
              <w:t>客戶應檢附金融機構防制洗錢辦法規定辨識其(含實質受益人)身分之必要文件。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(二)</w:t>
            </w:r>
            <w:r>
              <w:rPr>
                <w:rFonts w:hint="eastAsia" w:ascii="新細明體" w:hAnsi="新細明體" w:eastAsia="新細明體" w:cs="新細明體"/>
              </w:rPr>
              <w:t>經辦開戶人員部分：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(二)</w:t>
            </w:r>
            <w:r>
              <w:rPr>
                <w:rFonts w:hint="eastAsia" w:ascii="新細明體" w:hAnsi="新細明體" w:eastAsia="新細明體" w:cs="新細明體"/>
              </w:rPr>
              <w:t>經辦開戶人員部分：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應詳細核對開戶者所填寫之開戶契約及客戶自填徵信資料表上所列各欄是否無遺漏，其資料內容與身分證、其他相關證明文件是否相符；並檢查客戶所檢附之資料是否齊全、確實，且應實施開戶雙重證明文件之核驗如下：</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應詳細核對開戶者所填寫之開戶契約及客戶自填徵信資料表上所列各欄是否無遺漏，其資料內容與身分證、其他相關證明文件是否相符；並檢查客戶所檢附之資料是否齊全、確實，且應實施開戶雙重證明文件之核驗如下：</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客戶為自然人，其為本國人者，除要求其提供身分證正本外，並應徵取其他可資證明身分之文件，如健保卡、護照、駕照或學生證等；其為外國人者，除要求其提供護照外，並應徵取如居留證或其他可資證明身分之文件；另由代理人辦理開戶者，其代理人部分亦應比照適用。</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客戶為自然人，其為本國人者，除要求其提供身分證正本外，並應徵取其他可資證明身分之文件，如健保卡、護照、駕照或學生證等；其為外國人者，除要求其提供護照外，並應徵取如居留證或其他可資證明身分之文件；另由代理人辦理開戶者，其代理人部分亦應比照適用。</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客戶為法人者，除由被授權人檢附法人登記證明文件、授權書暨法人代表人及被授權人身分證明文件辦理外，並應徵取董事會議紀錄、公司章程或財務報表等，始可受理其開戶。機關學校團體之清冊，如可確認客戶身分，亦可當作第二身分證明文件，惟第二身分證明文件應具辨識力。</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客戶為法人者，除由被授權人檢附法人登記證明文件、授權書暨法人代表人及被授權人身分證明文件辦理外，並應徵取董事會議紀錄、公司章程或財務報表等，始可受理其開戶。機關學校團體之清冊，如可確認客戶身分，亦可當作第二身分證明文件，惟第二身分證明文件應具辨識力。</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上開第二身分證明文件毋須留存，惟應有查核紀錄可供日後查考。</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上開第二身分證明文件毋須留存，惟應有查核紀錄可供日後查考。</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境外外國機構投資人及大陸地區投資人（以大陸地區投資人來臺從事證券投資及期貨交易管理辦法第三條所定各款之人為限）之開戶作業，得排除適用前開實施雙重身分證件之查核規範，惟應落實「華僑及外國人與大陸地區投資人申請投資國內有價證券或從事國內期貨交易登記作業要點」規定，責由保管機構備齊具辨識力之相關文件申請登記，並留存備查。另公司受理投信基金之開戶，亦得比照排除實施雙重身分證明文件查核之規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境外外國機構投資人及大陸地區投資人（以大陸地區投資人來臺從事證券投資及期貨交易管理辦法第三條所定各款之人為限）之開戶作業，得排除適用前開實施雙重身分證件之查核規範，惟應落實「華僑及外國人與大陸地區投資人申請投資國內有價證券或從事國內期貨交易登記作業要點」規定，責由保管機構備齊具辨識力之相關文件申請登記，並留存備查。另公司受理投信基金之開戶，亦得比照排除實施雙重身分證明文件查核之規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應注意檢查身分證正本有無偽造、變造痕跡及相片是否與本人相符，並抽問測試客戶是否熟知身分證上所載事項內容。</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應注意檢查身分證正本有無偽造、變造痕跡及相片是否與本人相符，並抽問測試客戶是否熟知身分證上所載事項內容。</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應注意檢查客戶資格是否具有證交所「營業細則」第七十六條、櫃檯買賣中心「業務規則」第四十七條或依其他相關規定不得開戶之情事（例如：證券經紀商不得與法人籌備處訂立開戶契約；受監護宣告未經撤銷者，但監護人為受監護人之利益而處分有價證券者，不在此限；受輔助宣告未經撤銷者，但受輔助宣告之人經輔助人同意或法院許可者，不在此限），如有上述情況，應按規定不得接受其開戶；並應利用電腦查對下列事項：</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應注意檢查客戶資格是否具有證交所「營業細則」第七十六條、櫃檯買賣中心「業務規則」第四十七條或依其他相關規定不得開戶之情事（例如：證券經紀商不得與法人籌備處訂立開戶契約；受監護宣告未經撤銷者，但監護人為受監護人之利益而處分有價證券者，不在此限；受輔助宣告未經撤銷者，但受輔助宣告之人經輔助人同意或法院許可者，不在此限），如有上述情況，應按規定不得接受其開戶；並應利用電腦查對下列事項：</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是否曾經開戶，以避免發生重複開戶之情事。</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是否曾經開戶，以避免發生重複開戶之情事。</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核對違約客戶檔案，檢視是否曾因證券交易違背契約，經證交所或櫃檯買賣中心轉知各證券經紀商後，未結案且未滿五年者。但接獲通知後，就客戶當日已成交之融資買進或融券賣出，為同種類、同數量有價證券沖抵交易之受託買賣，及當日依「有價證券當日沖銷交易作業辦法」為反向沖銷之受託買賣，不在此限。</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核對違約客戶檔案，檢視是否曾因證券交易違背契約，經證交所或櫃檯買賣中心轉知各證券經紀商後，未結案且未滿五年者。但接獲通知後，就客戶當日已成交之融資買進或融券賣出，為同種類、同數量有價證券沖抵交易之受託買賣，及當日依「有價證券當日沖銷交易作業辦法」為反向沖銷之受託買賣，不在此限。</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因違反證券交易法或偽(變)造上市、上櫃有價證券案件，經檢察機關提起公訴尚在審理中，或經法院諭知有罪判決確定未滿五年者。</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因違反證券交易法或偽(變)造上市、上櫃有價證券案件，經檢察機關提起公訴尚在審理中，或經法院諭知有罪判決確定未滿五年者。</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因違背期貨交易契約未結案且未滿五年，或違反期貨交易管理法令，經司法機關有罪之刑事判決確定未滿五年者。</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因違背期貨交易契約未結案且未滿五年，或違反期貨交易管理法令，經司法機關有罪之刑事判決確定未滿五年者。</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pPr>
            <w:r>
              <w:rPr>
                <w:rFonts w:hint="eastAsia" w:ascii="新細明體" w:hAnsi="新細明體" w:eastAsia="新細明體" w:cs="新細明體"/>
              </w:rPr>
              <w:t>客戶如有上述(2)或(3) 或(4)情事之一者，亦應拒絕接受其開戶，已開戶者應拒絕接受其委託買賣或申購有價證券。</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pPr>
            <w:r>
              <w:rPr>
                <w:rFonts w:hint="eastAsia" w:ascii="新細明體" w:hAnsi="新細明體" w:eastAsia="新細明體" w:cs="新細明體"/>
              </w:rPr>
              <w:t>客戶如有上述(2)或(3) 或(4)情事之一者，亦應拒絕接受其開戶，已開戶者應拒絕接受其委託買賣或申購有價證券。</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對非本人親自開戶者，應注意檢查客戶是否係得委由他人代理開戶之人，並應注意代理人如屬不得開戶者，亦不得接受其代理客戶開戶。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對非本人親自開戶者，應注意檢查客戶是否係得委由他人代理開戶之人，並應注意代理人如屬不得開戶者，亦不得接受其代理客戶開戶。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對客戶作契約內容之說明及有關證券買賣程序之講解。</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對客戶作契約內容之說明及有關證券買賣程序之講解。</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6.</w:t>
            </w:r>
            <w:r>
              <w:rPr>
                <w:rFonts w:hint="eastAsia" w:ascii="新細明體" w:hAnsi="新細明體" w:eastAsia="新細明體" w:cs="新細明體"/>
              </w:rPr>
              <w:t>影印客戶(及法定代理人或被授權人)身分證及其他開戶所需相關證明文件。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6.</w:t>
            </w:r>
            <w:r>
              <w:rPr>
                <w:rFonts w:hint="eastAsia" w:ascii="新細明體" w:hAnsi="新細明體" w:eastAsia="新細明體" w:cs="新細明體"/>
              </w:rPr>
              <w:t>影印客戶(及法定代理人或被授權人)身分證及其他開戶所需相關證明文件。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7.</w:t>
            </w:r>
            <w:r>
              <w:rPr>
                <w:rFonts w:hint="eastAsia" w:ascii="新細明體" w:hAnsi="新細明體" w:eastAsia="新細明體" w:cs="新細明體"/>
              </w:rPr>
              <w:t>經審核客戶開戶資料無誤後，於開戶契約上簽章，以示負責。</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7.</w:t>
            </w:r>
            <w:r>
              <w:rPr>
                <w:rFonts w:hint="eastAsia" w:ascii="新細明體" w:hAnsi="新細明體" w:eastAsia="新細明體" w:cs="新細明體"/>
              </w:rPr>
              <w:t>經審核客戶開戶資料無誤後，於開戶契約上簽章，以示負責。</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8.</w:t>
            </w:r>
            <w:r>
              <w:rPr>
                <w:rFonts w:hint="eastAsia" w:ascii="新細明體" w:hAnsi="新細明體" w:eastAsia="新細明體" w:cs="新細明體"/>
              </w:rPr>
              <w:t>將客戶開戶資料送交營業員覆核；營業員並與開戶者洽談以了解客戶之基本資料及概況，經審核後於開戶契約上簽章；再送請營業部主管審核簽章及公司法定代理人用印。</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8.</w:t>
            </w:r>
            <w:r>
              <w:rPr>
                <w:rFonts w:hint="eastAsia" w:ascii="新細明體" w:hAnsi="新細明體" w:eastAsia="新細明體" w:cs="新細明體"/>
              </w:rPr>
              <w:t>將客戶開戶資料送交營業員覆核；營業員並與開戶者洽談以了解客戶之基本資料及概況，經審核後於開戶契約上簽章；再送請營業部主管審核簽章及公司法定代理人用印。</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9.</w:t>
            </w:r>
            <w:r>
              <w:rPr>
                <w:rFonts w:hint="eastAsia" w:ascii="新細明體" w:hAnsi="新細明體" w:eastAsia="新細明體" w:cs="新細明體"/>
              </w:rPr>
              <w:t>除因特殊情況並註明原因者，得將特定帳號予以空號處理外，應依開戶順序編列客戶帳號，但對非當年度（曆年制）註銷之帳號得依序填補使用之。</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9.</w:t>
            </w:r>
            <w:r>
              <w:rPr>
                <w:rFonts w:hint="eastAsia" w:ascii="新細明體" w:hAnsi="新細明體" w:eastAsia="新細明體" w:cs="新細明體"/>
              </w:rPr>
              <w:t>除因特殊情況並註明原因者，得將特定帳號予以空號處理外，應依開戶順序編列客戶帳號，但對非當年度（曆年制）註銷之帳號得依序填補使用之。</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10.</w:t>
            </w:r>
            <w:r>
              <w:rPr>
                <w:rFonts w:hint="eastAsia" w:ascii="新細明體" w:hAnsi="新細明體" w:eastAsia="新細明體" w:cs="新細明體"/>
              </w:rPr>
              <w:t>(刪除)</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10.</w:t>
            </w:r>
            <w:r>
              <w:rPr>
                <w:rFonts w:hint="eastAsia" w:ascii="新細明體" w:hAnsi="新細明體" w:eastAsia="新細明體" w:cs="新細明體"/>
              </w:rPr>
              <w:t>(刪除)</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11.</w:t>
            </w:r>
            <w:r>
              <w:rPr>
                <w:rFonts w:hint="eastAsia" w:ascii="新細明體" w:hAnsi="新細明體" w:eastAsia="新細明體" w:cs="新細明體"/>
              </w:rPr>
              <w:t>將新開戶資料(基本資料及輔助性資料)鍵入公司電腦檔案，並應於當天下午將開戶資料及帳號鍵入證交所或櫃檯買賣中心電腦檔案，並就鍵入資料詳予核對有無錯誤及留存覆核紀錄。</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11.</w:t>
            </w:r>
            <w:r>
              <w:rPr>
                <w:rFonts w:hint="eastAsia" w:ascii="新細明體" w:hAnsi="新細明體" w:eastAsia="新細明體" w:cs="新細明體"/>
              </w:rPr>
              <w:t>將新開戶資料(基本資料及輔助性資料)鍵入公司電腦檔案，並應於當天下午將開戶資料及帳號鍵入證交所或櫃檯買賣中心電腦檔案，並就鍵入資料詳予核對有無錯誤及留存覆核紀錄。</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12.</w:t>
            </w:r>
            <w:r>
              <w:rPr>
                <w:rFonts w:hint="eastAsia" w:ascii="新細明體" w:hAnsi="新細明體" w:eastAsia="新細明體" w:cs="新細明體"/>
              </w:rPr>
              <w:t>將客戶印鑑或簽名樣式卡乙份轉送交割（給付結算）部門，乙份留存。但客戶以電子化方式申請線上開戶者，得暫緩留存客戶印鑑卡或簽名樣式卡，待客戶有當面委託買賣、申購有價證券或辦理交割相關手續之實際需要時，再臨櫃至公司營業處所，留存客戶本人印鑑卡或簽名樣式卡。</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12.</w:t>
            </w:r>
            <w:r>
              <w:rPr>
                <w:rFonts w:hint="eastAsia" w:ascii="新細明體" w:hAnsi="新細明體" w:eastAsia="新細明體" w:cs="新細明體"/>
              </w:rPr>
              <w:t>將客戶印鑑或簽名樣式卡乙份轉送交割（給付結算）部門，乙份留存。但客戶以電子化方式申請線上開戶者，得暫緩留存客戶印鑑卡或簽名樣式卡，待客戶有當面委託買賣、申購有價證券或辦理交割相關手續之實際需要時，再臨櫃至公司營業處所，留存客戶本人印鑑卡或簽名樣式卡。</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13.</w:t>
            </w:r>
            <w:r>
              <w:rPr>
                <w:rFonts w:hint="eastAsia" w:ascii="新細明體" w:hAnsi="新細明體" w:eastAsia="新細明體" w:cs="新細明體"/>
              </w:rPr>
              <w:t>將客戶開戶資料裝訂存檔。</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13.</w:t>
            </w:r>
            <w:r>
              <w:rPr>
                <w:rFonts w:hint="eastAsia" w:ascii="新細明體" w:hAnsi="新細明體" w:eastAsia="新細明體" w:cs="新細明體"/>
              </w:rPr>
              <w:t>將客戶開戶資料裝訂存檔。</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14.</w:t>
            </w:r>
            <w:r>
              <w:rPr>
                <w:rFonts w:hint="eastAsia" w:ascii="新細明體" w:hAnsi="新細明體" w:eastAsia="新細明體" w:cs="新細明體"/>
              </w:rPr>
              <w:t>公司就線上開戶程序，應於內部控制制度自行訂定相關作業流程(註：請公司自訂)。受理該類開戶作業除應確定其身分為本人及留存相關證明文件外，應先經下列任一方式確認身分：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14.</w:t>
            </w:r>
            <w:r>
              <w:rPr>
                <w:rFonts w:hint="eastAsia" w:ascii="新細明體" w:hAnsi="新細明體" w:eastAsia="新細明體" w:cs="新細明體"/>
              </w:rPr>
              <w:t>公司就線上開戶程序，應於內部控制制度自行訂定相關作業流程(註：請公司自訂)。受理該類開戶作業除應確定其身分為本人及留存相關證明文件外，應先經下列任一方式確認身分：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洽往來交割銀行確認。</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洽往來交割銀行確認。</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以自然人憑證、銀行帳戶或晶片金融卡辦理線上身分驗證。</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以自然人憑證、銀行帳戶或晶片金融卡辦理線上身分驗證。</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經線上傳送可同時辨識國民身分證及臉部之照片，並輔以證券商交割專戶客戶分戶帳指定出金帳戶。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經線上傳送可同時辨識國民身分證及臉部之照片，並輔以證券商交割專戶客戶分戶帳指定出金帳戶。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經由視訊影像方式確認。</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經由視訊影像方式確認。</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(5)</w:t>
            </w:r>
            <w:r>
              <w:rPr>
                <w:rFonts w:hint="eastAsia" w:ascii="新細明體" w:hAnsi="新細明體" w:eastAsia="新細明體" w:cs="新細明體"/>
              </w:rPr>
              <w:t>經由行動身分識別（Mobile ID）方式確認，並應依｢證券商辦理行動身分識別（Mobile ID）身分認證應遵循事項｣規定辦理。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(5)</w:t>
            </w:r>
            <w:r>
              <w:rPr>
                <w:rFonts w:hint="eastAsia" w:ascii="新細明體" w:hAnsi="新細明體" w:eastAsia="新細明體" w:cs="新細明體"/>
              </w:rPr>
              <w:t>經由行動身分識別（Mobile ID）方式確認，並應依｢證券商辦理行動身分識別（Mobile ID）身分認證應遵循事項｣規定辦理。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(6)</w:t>
            </w:r>
            <w:r>
              <w:rPr>
                <w:rFonts w:hint="eastAsia" w:ascii="新細明體" w:hAnsi="新細明體" w:eastAsia="新細明體" w:cs="新細明體"/>
              </w:rPr>
              <w:t>經由金融行動身分識別標準化機制（金融Fast-ID）方式確認，並應依「金融機構辦理快速身分識別機制安全控管作業指引」辦理。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(6)</w:t>
            </w:r>
            <w:r>
              <w:rPr>
                <w:rFonts w:hint="eastAsia" w:ascii="新細明體" w:hAnsi="新細明體" w:eastAsia="新細明體" w:cs="新細明體"/>
              </w:rPr>
              <w:t>經由金融行動身分識別標準化機制（金融Fast-ID）方式確認，並應依「金融機構辦理快速身分識別機制安全控管作業指引」辦理。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(7)</w:t>
            </w:r>
            <w:r>
              <w:rPr>
                <w:rFonts w:hint="eastAsia" w:ascii="新細明體" w:hAnsi="新細明體" w:eastAsia="新細明體" w:cs="新細明體"/>
              </w:rPr>
              <w:t>透過其他可確認身分之方式。</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(7)</w:t>
            </w:r>
            <w:r>
              <w:rPr>
                <w:rFonts w:hint="eastAsia" w:ascii="新細明體" w:hAnsi="新細明體" w:eastAsia="新細明體" w:cs="新細明體"/>
              </w:rPr>
              <w:t>透過其他可確認身分之方式。</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460"/>
            </w:pPr>
            <w:r>
              <w:rPr>
                <w:rFonts w:hint="eastAsia" w:ascii="新細明體" w:hAnsi="新細明體" w:eastAsia="新細明體" w:cs="新細明體"/>
              </w:rPr>
              <w:t>以前項方式確認身分者，公司應輔以手機簡訊傳送一次性安全密碼（One Time Password--OTP「簡訊確認碼」）或由專人電訪等方式強化驗證。</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460"/>
            </w:pPr>
            <w:r>
              <w:rPr>
                <w:rFonts w:hint="eastAsia" w:ascii="新細明體" w:hAnsi="新細明體" w:eastAsia="新細明體" w:cs="新細明體"/>
              </w:rPr>
              <w:t>以前項方式確認身分者，公司應輔以手機簡訊傳送一次性安全密碼（One Time Password--OTP「簡訊確認碼」）或由專人電訪等方式強化驗證。</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460"/>
            </w:pPr>
            <w:r>
              <w:rPr>
                <w:rFonts w:hint="eastAsia" w:ascii="新細明體" w:hAnsi="新細明體" w:eastAsia="新細明體" w:cs="新細明體"/>
              </w:rPr>
              <w:t>受理依本國公司法登記股東為3人以下之公司，且其負責人及股東均為本國國籍成年自然人之公司採線上開戶者，應對其負責人採前項及公司採工商憑證進行身分驗證。</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460"/>
            </w:pPr>
            <w:r>
              <w:rPr>
                <w:rFonts w:hint="eastAsia" w:ascii="新細明體" w:hAnsi="新細明體" w:eastAsia="新細明體" w:cs="新細明體"/>
              </w:rPr>
              <w:t>受理依本國公司法登記股東為3人以下之公司，且其負責人及股東均為本國國籍成年自然人之公司採線上開戶者，應對其負責人採前項及公司採工商憑證進行身分驗證。</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15.</w:t>
            </w:r>
            <w:r>
              <w:rPr>
                <w:rFonts w:hint="eastAsia" w:ascii="新細明體" w:hAnsi="新細明體" w:eastAsia="新細明體" w:cs="新細明體"/>
              </w:rPr>
              <w:t>接受保管銀行代理境外法人及自然人以電子化方式辦理開戶，應確認該保管銀行與公司均具網路認證機制；以電子化方式傳輸之開戶文件範圍，應包含授權書、公司登記(或變更登記)後之證明文件影本、代表人及被授權人國民身分證、同尺寸比例之印鑑卡原本及證券規章規定應檢附之其他文件；接收保管銀行電子傳輸之上開開戶文件，仍應逐級審核簽章。</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15.</w:t>
            </w:r>
            <w:r>
              <w:rPr>
                <w:rFonts w:hint="eastAsia" w:ascii="新細明體" w:hAnsi="新細明體" w:eastAsia="新細明體" w:cs="新細明體"/>
              </w:rPr>
              <w:t>接受保管銀行代理境外法人及自然人以電子化方式辦理開戶，應確認該保管銀行與公司均具網路認證機制；以電子化方式傳輸之開戶文件範圍，應包含授權書、公司登記(或變更登記)後之證明文件影本、代表人及被授權人國民身分證、同尺寸比例之印鑑卡原本及證券規章規定應檢附之其他文件；接收保管銀行電子傳輸之上開開戶文件，仍應逐級審核簽章。</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16.</w:t>
            </w:r>
            <w:r>
              <w:rPr>
                <w:rFonts w:hint="eastAsia" w:ascii="新細明體" w:hAnsi="新細明體" w:eastAsia="新細明體" w:cs="新細明體"/>
              </w:rPr>
              <w:t>公司對採經電子憑證認證之網際網路方式簽訂「證券商電子式交易帳戶委託買賣有價證券同意書」之客戶，必須以資料加密、電子簽章簽署該類電子文件，且需留下電腦稽核紀錄(log)，其保存年限比照開戶契約規定。前開電腦稽核紀錄(log)應含客戶名稱、身分證字號 (或法人統一編號)、「證券商電子式交易帳戶委託買賣有價證券同意書」內容及時間。</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16.</w:t>
            </w:r>
            <w:r>
              <w:rPr>
                <w:rFonts w:hint="eastAsia" w:ascii="新細明體" w:hAnsi="新細明體" w:eastAsia="新細明體" w:cs="新細明體"/>
              </w:rPr>
              <w:t>公司對採經電子憑證認證之網際網路方式簽訂「證券商電子式交易帳戶委託買賣有價證券同意書」之客戶，必須以資料加密、電子簽章簽署該類電子文件，且需留下電腦稽核紀錄(log)，其保存年限比照開戶契約規定。前開電腦稽核紀錄(log)應含客戶名稱、身分證字號 (或法人統一編號)、「證券商電子式交易帳戶委託買賣有價證券同意書」內容及時間。</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17.</w:t>
            </w:r>
            <w:r>
              <w:rPr>
                <w:rFonts w:hint="eastAsia" w:ascii="新細明體" w:hAnsi="新細明體" w:eastAsia="新細明體" w:cs="新細明體"/>
              </w:rPr>
              <w:t>自93年5月3日起，所有在臺無戶籍人民於公司開戶時，均應填繳「統一證號」相關證明文件。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17.</w:t>
            </w:r>
            <w:r>
              <w:rPr>
                <w:rFonts w:hint="eastAsia" w:ascii="新細明體" w:hAnsi="新細明體" w:eastAsia="新細明體" w:cs="新細明體"/>
              </w:rPr>
              <w:t>自93年5月3日起，所有在臺無戶籍人民於公司開戶時，均應填繳「統一證號」相關證明文件。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18.</w:t>
            </w:r>
            <w:r>
              <w:rPr>
                <w:rFonts w:hint="eastAsia" w:ascii="新細明體" w:hAnsi="新細明體" w:eastAsia="新細明體" w:cs="新細明體"/>
              </w:rPr>
              <w:t>接受客戶要求派經辦開戶人員至客戶所在地辦理開戶之前置作業，僅能提供開戶申請表格供客戶填寫、收件或訪談，經辦開戶人員並應當場請客戶本人（有代理人者含代理人）提出身分證正本核驗無誤後留存影本（不涉及開戶、徵信之審核）。</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18.</w:t>
            </w:r>
            <w:r>
              <w:rPr>
                <w:rFonts w:hint="eastAsia" w:ascii="新細明體" w:hAnsi="新細明體" w:eastAsia="新細明體" w:cs="新細明體"/>
              </w:rPr>
              <w:t>接受客戶要求派經辦開戶人員至客戶所在地辦理開戶之前置作業，僅能提供開戶申請表格供客戶填寫、收件或訪談，經辦開戶人員並應當場請客戶本人（有代理人者含代理人）提出身分證正本核驗無誤後留存影本（不涉及開戶、徵信之審核）。</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19.</w:t>
            </w:r>
            <w:r>
              <w:rPr>
                <w:rFonts w:hint="eastAsia" w:ascii="新細明體" w:hAnsi="新細明體" w:eastAsia="新細明體" w:cs="新細明體"/>
              </w:rPr>
              <w:t>辦理開戶相關人員應至司法院網站項下查詢欲開戶之客戶是否為受監護或輔助宣告之人。</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19.</w:t>
            </w:r>
            <w:r>
              <w:rPr>
                <w:rFonts w:hint="eastAsia" w:ascii="新細明體" w:hAnsi="新細明體" w:eastAsia="新細明體" w:cs="新細明體"/>
              </w:rPr>
              <w:t>辦理開戶相關人員應至司法院網站項下查詢欲開戶之客戶是否為受監護或輔助宣告之人。</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20.</w:t>
            </w:r>
            <w:r>
              <w:rPr>
                <w:rFonts w:hint="eastAsia" w:ascii="新細明體" w:hAnsi="新細明體" w:eastAsia="新細明體" w:cs="新細明體"/>
              </w:rPr>
              <w:t>公司由總</w:t>
            </w:r>
            <w:r>
              <w:rPr>
                <w:rFonts w:hint="eastAsia" w:ascii="新細明體" w:hAnsi="新細明體" w:eastAsia="新細明體" w:cs="新細明體"/>
                <w:b/>
                <w:u w:val="single"/>
                <w:color w:val="FF0000 "/>
              </w:rPr>
              <w:t>公司、分支機構</w:t>
            </w:r>
            <w:r>
              <w:rPr>
                <w:rFonts w:hint="eastAsia" w:ascii="新細明體" w:hAnsi="新細明體" w:eastAsia="新細明體" w:cs="新細明體"/>
              </w:rPr>
              <w:t>、</w:t>
            </w:r>
            <w:r>
              <w:rPr>
                <w:rFonts w:hint="eastAsia" w:ascii="新細明體" w:hAnsi="新細明體" w:eastAsia="新細明體" w:cs="新細明體"/>
                <w:b/>
                <w:u w:val="single"/>
                <w:color w:val="FF0000 "/>
              </w:rPr>
              <w:t>簡易</w:t>
            </w:r>
            <w:r>
              <w:rPr>
                <w:rFonts w:hint="eastAsia" w:ascii="新細明體" w:hAnsi="新細明體" w:eastAsia="新細明體" w:cs="新細明體"/>
              </w:rPr>
              <w:t>分</w:t>
            </w:r>
            <w:r>
              <w:rPr>
                <w:rFonts w:hint="eastAsia" w:ascii="新細明體" w:hAnsi="新細明體" w:eastAsia="新細明體" w:cs="新細明體"/>
                <w:b/>
                <w:u w:val="single"/>
                <w:color w:val="FF0000 "/>
              </w:rPr>
              <w:t>支機構</w:t>
            </w:r>
            <w:r>
              <w:rPr>
                <w:rFonts w:hint="eastAsia" w:ascii="新細明體" w:hAnsi="新細明體" w:eastAsia="新細明體" w:cs="新細明體"/>
              </w:rPr>
              <w:t>登錄開戶經辦人員跨營業據點辦理開戶之前置作業時，應依證交所106年11月1日臺證輔字第1060019339號函辦理。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20.</w:t>
            </w:r>
            <w:r>
              <w:rPr>
                <w:rFonts w:hint="eastAsia" w:ascii="新細明體" w:hAnsi="新細明體" w:eastAsia="新細明體" w:cs="新細明體"/>
              </w:rPr>
              <w:t>公司由總、分</w:t>
            </w:r>
            <w:r>
              <w:rPr>
                <w:rFonts w:hint="eastAsia" w:ascii="新細明體" w:hAnsi="新細明體" w:eastAsia="新細明體" w:cs="新細明體"/>
                <w:b/>
                <w:color w:val="FF0000 "/>
              </w:rPr>
              <w:t>公司</w:t>
            </w:r>
            <w:r>
              <w:rPr>
                <w:rFonts w:hint="eastAsia" w:ascii="新細明體" w:hAnsi="新細明體" w:eastAsia="新細明體" w:cs="新細明體"/>
              </w:rPr>
              <w:t>登錄開戶經辦人員跨營業據點辦理開戶之前置作業時，應依證交所106年11月1日臺證輔字第1060019339號函辦理。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21.</w:t>
            </w:r>
            <w:r>
              <w:rPr>
                <w:rFonts w:hint="eastAsia" w:ascii="新細明體" w:hAnsi="新細明體" w:eastAsia="新細明體" w:cs="新細明體"/>
              </w:rPr>
              <w:t>依金融機構防制洗錢辦法規定，對於現有客戶(含實質受益人)進行持續審查事宜，應依重要性及風險程度變動情況，更新客戶及實質受益人資訊。</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21.</w:t>
            </w:r>
            <w:r>
              <w:rPr>
                <w:rFonts w:hint="eastAsia" w:ascii="新細明體" w:hAnsi="新細明體" w:eastAsia="新細明體" w:cs="新細明體"/>
              </w:rPr>
              <w:t>依金融機構防制洗錢辦法規定，對於現有客戶(含實質受益人)進行持續審查事宜，應依重要性及風險程度變動情況，更新客戶及實質受益人資訊。</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(三)</w:t>
            </w:r>
            <w:r>
              <w:rPr>
                <w:rFonts w:hint="eastAsia" w:ascii="新細明體" w:hAnsi="新細明體" w:eastAsia="新細明體" w:cs="新細明體"/>
              </w:rPr>
              <w:t>開戶函證及回函處理：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(三)</w:t>
            </w:r>
            <w:r>
              <w:rPr>
                <w:rFonts w:hint="eastAsia" w:ascii="新細明體" w:hAnsi="新細明體" w:eastAsia="新細明體" w:cs="新細明體"/>
              </w:rPr>
              <w:t>開戶函證及回函處理：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代理開戶之客戶為自然人者，應核對客戶戶籍地與開戶契約所載連絡地是否一致，如不一致者宜函證該戶籍地確認其開戶；代理開戶之客戶名義非屬自然人者，除為境外外國人及公司於自己公司所設錯帳處理專戶外，一律以雙掛號函證客戶依法登記所在地地址，非俟完成上開查證確認程序，不得受託買賣。客戶委由保管機構代為開戶或出具由保管機構代辦交割證明者，得免函證確認係屬授權開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代理開戶之客戶為自然人者，應核對客戶戶籍地與開戶契約所載連絡地是否一致，如不一致者宜函證該戶籍地確認其開戶；代理開戶之客戶名義非屬自然人者，除為境外外國人及公司於自己公司所設錯帳處理專戶外，一律以雙掛號函證客戶依法登記所在地地址，非俟完成上開查證確認程序，不得受託買賣。客戶委由保管機構代為開戶或出具由保管機構代辦交割證明者，得免函證確認係屬授權開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將客戶之確認覆函黏貼於開戶契約備查。</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將客戶之確認覆函黏貼於開戶契約備查。</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客戶之確認覆函結果如發現屬冒用開戶買賣者，除應即註銷帳戶，並主動移送法辦外，尚應將上開查處結果函報證交所及櫃檯買賣中心備查。</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客戶之確認覆函結果如發現屬冒用開戶買賣者，除應即註銷帳戶，並主動移送法辦外，尚應將上開查處結果函報證交所及櫃檯買賣中心備查。</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(四)</w:t>
            </w:r>
            <w:r>
              <w:rPr>
                <w:rFonts w:hint="eastAsia" w:ascii="新細明體" w:hAnsi="新細明體" w:eastAsia="新細明體" w:cs="新細明體"/>
              </w:rPr>
              <w:t>接受公司內部人員及證券交易輔助人之內部人員開戶，應依「證券商內部人員在所屬證券商開戶委託買賣有價證券管理辦法」及證交所台證(81)交字第09987號函、103年2月27日臺證交字第1030201485號函或櫃檯買賣中心103年3月6日證櫃交字第10300043711號函之規定辦理。但金融控股公司進行共同行銷，銀行等子公司人員兼任證券專業櫃檯業務，在未涉及利益衝突之情事下，得暫不適用上開規範。</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(四)</w:t>
            </w:r>
            <w:r>
              <w:rPr>
                <w:rFonts w:hint="eastAsia" w:ascii="新細明體" w:hAnsi="新細明體" w:eastAsia="新細明體" w:cs="新細明體"/>
              </w:rPr>
              <w:t>接受公司內部人員及證券交易輔助人之內部人員開戶，應依「證券商內部人員在所屬證券商開戶委託買賣有價證券管理辦法」及證交所台證(81)交字第09987號函、103年2月27日臺證交字第1030201485號函或櫃檯買賣中心103年3月6日證櫃交字第10300043711號函之規定辦理。但金融控股公司進行共同行銷，銀行等子公司人員兼任證券專業櫃檯業務，在未涉及利益衝突之情事下，得暫不適用上開規範。</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(五)</w:t>
            </w:r>
            <w:r>
              <w:rPr>
                <w:rFonts w:hint="eastAsia" w:ascii="新細明體" w:hAnsi="新細明體" w:eastAsia="新細明體" w:cs="新細明體"/>
              </w:rPr>
              <w:t>接受華僑及外國人等特殊身分開戶，應依證交所營業細則第七十七、七十七之一至之九及櫃檯買賣中心業務規則第四十六條、四十六條之一至之十等相關規定辦理。華僑及外國人投資國內證券如有違約情事，並應依主管機關95年3月10日金管證八字第0950103817號令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(五)</w:t>
            </w:r>
            <w:r>
              <w:rPr>
                <w:rFonts w:hint="eastAsia" w:ascii="新細明體" w:hAnsi="新細明體" w:eastAsia="新細明體" w:cs="新細明體"/>
              </w:rPr>
              <w:t>接受華僑及外國人等特殊身分開戶，應依證交所營業細則第七十七、七十七之一至之九及櫃檯買賣中心業務規則第四十六條、四十六條之一至之十等相關規定辦理。華僑及外國人投資國內證券如有違約情事，並應依主管機關95年3月10日金管證八字第0950103817號令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(六)</w:t>
            </w:r>
            <w:r>
              <w:rPr>
                <w:rFonts w:hint="eastAsia" w:ascii="新細明體" w:hAnsi="新細明體" w:eastAsia="新細明體" w:cs="新細明體"/>
              </w:rPr>
              <w:t>得接受客戶因委託不同證券投資信託或投資顧問事業全權委託投資，而於總公司經紀部門（含分</w:t>
            </w:r>
            <w:r>
              <w:rPr>
                <w:rFonts w:hint="eastAsia" w:ascii="新細明體" w:hAnsi="新細明體" w:eastAsia="新細明體" w:cs="新細明體"/>
                <w:b/>
                <w:u w:val="single"/>
                <w:color w:val="FF0000 "/>
              </w:rPr>
              <w:t>支機構</w:t>
            </w:r>
            <w:r>
              <w:rPr>
                <w:rFonts w:hint="eastAsia" w:ascii="新細明體" w:hAnsi="新細明體" w:eastAsia="新細明體" w:cs="新細明體"/>
              </w:rPr>
              <w:t>）各開立一個全權委託投資帳戶；惟應明確區分客戶之各個不同全權委託帳戶及非全權委託帳戶之權責。另客戶如係公務人員退休撫卹基金、勞工退休基金、勞工保險基金或郵匯儲金等政府基金，於其委任同一受任人為全權委託投資時，得按其委託契約之不同而在總公司經紀部門及分</w:t>
            </w:r>
            <w:r>
              <w:rPr>
                <w:rFonts w:hint="eastAsia" w:ascii="新細明體" w:hAnsi="新細明體" w:eastAsia="新細明體" w:cs="新細明體"/>
                <w:b/>
                <w:u w:val="single"/>
                <w:color w:val="FF0000 "/>
              </w:rPr>
              <w:t>支機構</w:t>
            </w:r>
            <w:r>
              <w:rPr>
                <w:rFonts w:hint="eastAsia" w:ascii="新細明體" w:hAnsi="新細明體" w:eastAsia="新細明體" w:cs="新細明體"/>
              </w:rPr>
              <w:t>分別開立一個以上之全權委託投資帳戶。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(六)</w:t>
            </w:r>
            <w:r>
              <w:rPr>
                <w:rFonts w:hint="eastAsia" w:ascii="新細明體" w:hAnsi="新細明體" w:eastAsia="新細明體" w:cs="新細明體"/>
              </w:rPr>
              <w:t>得接受客戶因委託不同證券投資信託或投資顧問事業全權委託投資，而於總公司經紀部門（含分</w:t>
            </w:r>
            <w:r>
              <w:rPr>
                <w:rFonts w:hint="eastAsia" w:ascii="新細明體" w:hAnsi="新細明體" w:eastAsia="新細明體" w:cs="新細明體"/>
                <w:b/>
                <w:color w:val="FF0000 "/>
              </w:rPr>
              <w:t>公司</w:t>
            </w:r>
            <w:r>
              <w:rPr>
                <w:rFonts w:hint="eastAsia" w:ascii="新細明體" w:hAnsi="新細明體" w:eastAsia="新細明體" w:cs="新細明體"/>
              </w:rPr>
              <w:t>）各開立一個全權委託投資帳戶；惟應明確區分客戶之各個不同全權委託帳戶及非全權委託帳戶之權責。另客戶如係公務人員退休撫卹基金、勞工退休基金、勞工保險基金或郵匯儲金等政府基金，於其委任同一受任人為全權委託投資時，得按其委託契約之不同而在總公司經紀部門及分</w:t>
            </w:r>
            <w:r>
              <w:rPr>
                <w:rFonts w:hint="eastAsia" w:ascii="新細明體" w:hAnsi="新細明體" w:eastAsia="新細明體" w:cs="新細明體"/>
                <w:b/>
                <w:color w:val="FF0000 "/>
              </w:rPr>
              <w:t>公司</w:t>
            </w:r>
            <w:r>
              <w:rPr>
                <w:rFonts w:hint="eastAsia" w:ascii="新細明體" w:hAnsi="新細明體" w:eastAsia="新細明體" w:cs="新細明體"/>
              </w:rPr>
              <w:t>分別開立一個以上之全權委託投資帳戶。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(七)</w:t>
            </w:r>
            <w:r>
              <w:rPr>
                <w:rFonts w:hint="eastAsia" w:ascii="新細明體" w:hAnsi="新細明體" w:eastAsia="新細明體" w:cs="新細明體"/>
              </w:rPr>
              <w:t>辦理依證交所營業細則第七十五條之六、櫃檯買賣中心業務規則第四十五條之四及相關函示規定於公司同一營業據點開立二個以上交易帳戶者，應於委託人名稱後附加開戶理由。其中對於全權委託投資帳戶需檢附委任人與受任人指示信函，並敘明開戶原因及名稱，帳戶名稱依第一個帳戶名稱加註第二個以上帳戶開戶原因；帳戶更名、註銷等作業亦同。</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(七)</w:t>
            </w:r>
            <w:r>
              <w:rPr>
                <w:rFonts w:hint="eastAsia" w:ascii="新細明體" w:hAnsi="新細明體" w:eastAsia="新細明體" w:cs="新細明體"/>
              </w:rPr>
              <w:t>辦理依證交所營業細則第七十五條之六、櫃檯買賣中心業務規則第四十五條之四及相關函示規定於公司同一營業據點開立二個以上交易帳戶者，應於委託人名稱後附加開戶理由。其中對於全權委託投資帳戶需檢附委任人與受任人指示信函，並敘明開戶原因及名稱，帳戶名稱依第一個帳戶名稱加註第二個以上帳戶開戶原因；帳戶更名、註銷等作業亦同。</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99"/>
            </w:pPr>
            <w:r>
              <w:rPr>
                <w:rFonts w:hint="eastAsia" w:ascii="新細明體" w:hAnsi="新細明體" w:eastAsia="新細明體" w:cs="新細明體"/>
              </w:rPr>
              <w:t>他家證券商各違約處理專戶，得開立於公司同一營業處所，公司各違約處理專戶，得開立於他家證券經紀商同一營業處所（違約處理專戶開立之基本資料及區分不同專戶之用途乙節，由受理證券商檢視之，並由開立證券商自行控管）。</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99"/>
            </w:pPr>
            <w:r>
              <w:rPr>
                <w:rFonts w:hint="eastAsia" w:ascii="新細明體" w:hAnsi="新細明體" w:eastAsia="新細明體" w:cs="新細明體"/>
              </w:rPr>
              <w:t>他家證券商各違約處理專戶，得開立於公司同一營業處所，公司各違約處理專戶，得開立於他家證券經紀商同一營業處所（違約處理專戶開立之基本資料及區分不同專戶之用途乙節，由受理證券商檢視之，並由開立證券商自行控管）。</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(八)</w:t>
            </w:r>
            <w:r>
              <w:rPr>
                <w:rFonts w:hint="eastAsia" w:ascii="新細明體" w:hAnsi="新細明體" w:eastAsia="新細明體" w:cs="新細明體"/>
              </w:rPr>
              <w:t>不同分</w:t>
            </w:r>
            <w:r>
              <w:rPr>
                <w:rFonts w:hint="eastAsia" w:ascii="新細明體" w:hAnsi="新細明體" w:eastAsia="新細明體" w:cs="新細明體"/>
                <w:b/>
                <w:u w:val="single"/>
                <w:color w:val="FF0000 "/>
              </w:rPr>
              <w:t>支機構</w:t>
            </w:r>
            <w:r>
              <w:rPr>
                <w:rFonts w:hint="eastAsia" w:ascii="新細明體" w:hAnsi="新細明體" w:eastAsia="新細明體" w:cs="新細明體"/>
              </w:rPr>
              <w:t>間（含總公司</w:t>
            </w:r>
            <w:r>
              <w:rPr>
                <w:rFonts w:hint="eastAsia" w:ascii="新細明體" w:hAnsi="新細明體" w:eastAsia="新細明體" w:cs="新細明體"/>
                <w:b/>
                <w:u w:val="single"/>
                <w:color w:val="FF0000 "/>
              </w:rPr>
              <w:t>及分支機構</w:t>
            </w:r>
            <w:r>
              <w:rPr>
                <w:rFonts w:hint="eastAsia" w:ascii="新細明體" w:hAnsi="新細明體" w:eastAsia="新細明體" w:cs="新細明體"/>
              </w:rPr>
              <w:t>間）辦理客戶帳戶移轉，應由客戶</w:t>
            </w:r>
            <w:r>
              <w:rPr>
                <w:rFonts w:hint="eastAsia" w:ascii="新細明體" w:hAnsi="新細明體" w:eastAsia="新細明體" w:cs="新細明體"/>
                <w:b/>
                <w:u w:val="single"/>
                <w:color w:val="FF0000 "/>
              </w:rPr>
              <w:t>以書面或電子化方式</w:t>
            </w:r>
            <w:r>
              <w:rPr>
                <w:rFonts w:hint="eastAsia" w:ascii="新細明體" w:hAnsi="新細明體" w:eastAsia="新細明體" w:cs="新細明體"/>
              </w:rPr>
              <w:t>簽具同意書，並經公司受託買賣主管及相關人員（含原分</w:t>
            </w:r>
            <w:r>
              <w:rPr>
                <w:rFonts w:hint="eastAsia" w:ascii="新細明體" w:hAnsi="新細明體" w:eastAsia="新細明體" w:cs="新細明體"/>
                <w:b/>
                <w:u w:val="single"/>
                <w:color w:val="FF0000 "/>
              </w:rPr>
              <w:t>支機構</w:t>
            </w:r>
            <w:r>
              <w:rPr>
                <w:rFonts w:hint="eastAsia" w:ascii="新細明體" w:hAnsi="新細明體" w:eastAsia="新細明體" w:cs="新細明體"/>
              </w:rPr>
              <w:t>及新分</w:t>
            </w:r>
            <w:r>
              <w:rPr>
                <w:rFonts w:hint="eastAsia" w:ascii="新細明體" w:hAnsi="新細明體" w:eastAsia="新細明體" w:cs="新細明體"/>
                <w:b/>
                <w:u w:val="single"/>
                <w:color w:val="FF0000 "/>
              </w:rPr>
              <w:t>支機構</w:t>
            </w:r>
            <w:r>
              <w:rPr>
                <w:rFonts w:hint="eastAsia" w:ascii="新細明體" w:hAnsi="新細明體" w:eastAsia="新細明體" w:cs="新細明體"/>
              </w:rPr>
              <w:t>）核可後，得以原有徵信及開戶資料直接移轉，重新開立（編立）帳號（無需依現行一般程序重新開立帳戶），惟原分</w:t>
            </w:r>
            <w:r>
              <w:rPr>
                <w:rFonts w:hint="eastAsia" w:ascii="新細明體" w:hAnsi="新細明體" w:eastAsia="新細明體" w:cs="新細明體"/>
                <w:b/>
                <w:u w:val="single"/>
                <w:color w:val="FF0000 "/>
              </w:rPr>
              <w:t>支機構</w:t>
            </w:r>
            <w:r>
              <w:rPr>
                <w:rFonts w:hint="eastAsia" w:ascii="新細明體" w:hAnsi="新細明體" w:eastAsia="新細明體" w:cs="新細明體"/>
              </w:rPr>
              <w:t>應留存原有徵信及開戶資料暨前揭客戶同意書備查，原分</w:t>
            </w:r>
            <w:r>
              <w:rPr>
                <w:rFonts w:hint="eastAsia" w:ascii="新細明體" w:hAnsi="新細明體" w:eastAsia="新細明體" w:cs="新細明體"/>
                <w:b/>
                <w:u w:val="single"/>
                <w:color w:val="FF0000 "/>
              </w:rPr>
              <w:t>支機構</w:t>
            </w:r>
            <w:r>
              <w:rPr>
                <w:rFonts w:hint="eastAsia" w:ascii="新細明體" w:hAnsi="新細明體" w:eastAsia="新細明體" w:cs="新細明體"/>
              </w:rPr>
              <w:t>於完成帳戶移轉後，應即註銷該帳戶。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(八)</w:t>
            </w:r>
            <w:r>
              <w:rPr>
                <w:rFonts w:hint="eastAsia" w:ascii="新細明體" w:hAnsi="新細明體" w:eastAsia="新細明體" w:cs="新細明體"/>
              </w:rPr>
              <w:t>不同分</w:t>
            </w:r>
            <w:r>
              <w:rPr>
                <w:rFonts w:hint="eastAsia" w:ascii="新細明體" w:hAnsi="新細明體" w:eastAsia="新細明體" w:cs="新細明體"/>
                <w:b/>
                <w:color w:val="FF0000 "/>
              </w:rPr>
              <w:t>公司</w:t>
            </w:r>
            <w:r>
              <w:rPr>
                <w:rFonts w:hint="eastAsia" w:ascii="新細明體" w:hAnsi="新細明體" w:eastAsia="新細明體" w:cs="新細明體"/>
              </w:rPr>
              <w:t>間（含總</w:t>
            </w:r>
            <w:r>
              <w:rPr>
                <w:rFonts w:hint="eastAsia" w:ascii="新細明體" w:hAnsi="新細明體" w:eastAsia="新細明體" w:cs="新細明體"/>
                <w:b/>
                <w:color w:val="FF0000 "/>
              </w:rPr>
              <w:t>分</w:t>
            </w:r>
            <w:r>
              <w:rPr>
                <w:rFonts w:hint="eastAsia" w:ascii="新細明體" w:hAnsi="新細明體" w:eastAsia="新細明體" w:cs="新細明體"/>
              </w:rPr>
              <w:t>公司間）辦理客戶帳戶移轉，應由客戶簽具</w:t>
            </w:r>
            <w:r>
              <w:rPr>
                <w:rFonts w:hint="eastAsia" w:ascii="新細明體" w:hAnsi="新細明體" w:eastAsia="新細明體" w:cs="新細明體"/>
                <w:b/>
                <w:color w:val="FF0000 "/>
              </w:rPr>
              <w:t>書面</w:t>
            </w:r>
            <w:r>
              <w:rPr>
                <w:rFonts w:hint="eastAsia" w:ascii="新細明體" w:hAnsi="新細明體" w:eastAsia="新細明體" w:cs="新細明體"/>
              </w:rPr>
              <w:t>同意書，並經公司受託買賣主管及相關人員（含原分</w:t>
            </w:r>
            <w:r>
              <w:rPr>
                <w:rFonts w:hint="eastAsia" w:ascii="新細明體" w:hAnsi="新細明體" w:eastAsia="新細明體" w:cs="新細明體"/>
                <w:b/>
                <w:color w:val="FF0000 "/>
              </w:rPr>
              <w:t>公司</w:t>
            </w:r>
            <w:r>
              <w:rPr>
                <w:rFonts w:hint="eastAsia" w:ascii="新細明體" w:hAnsi="新細明體" w:eastAsia="新細明體" w:cs="新細明體"/>
              </w:rPr>
              <w:t>及新分</w:t>
            </w:r>
            <w:r>
              <w:rPr>
                <w:rFonts w:hint="eastAsia" w:ascii="新細明體" w:hAnsi="新細明體" w:eastAsia="新細明體" w:cs="新細明體"/>
                <w:b/>
                <w:color w:val="FF0000 "/>
              </w:rPr>
              <w:t>公司</w:t>
            </w:r>
            <w:r>
              <w:rPr>
                <w:rFonts w:hint="eastAsia" w:ascii="新細明體" w:hAnsi="新細明體" w:eastAsia="新細明體" w:cs="新細明體"/>
              </w:rPr>
              <w:t>）</w:t>
            </w:r>
            <w:r>
              <w:rPr>
                <w:rFonts w:hint="eastAsia" w:ascii="新細明體" w:hAnsi="新細明體" w:eastAsia="新細明體" w:cs="新細明體"/>
                <w:b/>
                <w:color w:val="FF0000 "/>
              </w:rPr>
              <w:t>書面</w:t>
            </w:r>
            <w:r>
              <w:rPr>
                <w:rFonts w:hint="eastAsia" w:ascii="新細明體" w:hAnsi="新細明體" w:eastAsia="新細明體" w:cs="新細明體"/>
              </w:rPr>
              <w:t>核可後，得以原有徵信及開戶資料直接移轉，重新開立（編立）帳號（無需依現行一般程序重新開立帳戶），惟原分</w:t>
            </w:r>
            <w:r>
              <w:rPr>
                <w:rFonts w:hint="eastAsia" w:ascii="新細明體" w:hAnsi="新細明體" w:eastAsia="新細明體" w:cs="新細明體"/>
                <w:b/>
                <w:color w:val="FF0000 "/>
              </w:rPr>
              <w:t>公司</w:t>
            </w:r>
            <w:r>
              <w:rPr>
                <w:rFonts w:hint="eastAsia" w:ascii="新細明體" w:hAnsi="新細明體" w:eastAsia="新細明體" w:cs="新細明體"/>
              </w:rPr>
              <w:t>應留存</w:t>
            </w:r>
            <w:r>
              <w:rPr>
                <w:rFonts w:hint="eastAsia" w:ascii="新細明體" w:hAnsi="新細明體" w:eastAsia="新細明體" w:cs="新細明體"/>
                <w:b/>
                <w:color w:val="FF0000 "/>
              </w:rPr>
              <w:t>乙份</w:t>
            </w:r>
            <w:r>
              <w:rPr>
                <w:rFonts w:hint="eastAsia" w:ascii="新細明體" w:hAnsi="新細明體" w:eastAsia="新細明體" w:cs="新細明體"/>
              </w:rPr>
              <w:t>原有徵信及開戶</w:t>
            </w:r>
            <w:r>
              <w:rPr>
                <w:rFonts w:hint="eastAsia" w:ascii="新細明體" w:hAnsi="新細明體" w:eastAsia="新細明體" w:cs="新細明體"/>
                <w:b/>
                <w:color w:val="FF0000 "/>
              </w:rPr>
              <w:t>文書</w:t>
            </w:r>
            <w:r>
              <w:rPr>
                <w:rFonts w:hint="eastAsia" w:ascii="新細明體" w:hAnsi="新細明體" w:eastAsia="新細明體" w:cs="新細明體"/>
              </w:rPr>
              <w:t>資料</w:t>
            </w:r>
            <w:r>
              <w:rPr>
                <w:rFonts w:hint="eastAsia" w:ascii="新細明體" w:hAnsi="新細明體" w:eastAsia="新細明體" w:cs="新細明體"/>
                <w:b/>
                <w:color w:val="FF0000 "/>
              </w:rPr>
              <w:t>影本</w:t>
            </w:r>
            <w:r>
              <w:rPr>
                <w:rFonts w:hint="eastAsia" w:ascii="新細明體" w:hAnsi="新細明體" w:eastAsia="新細明體" w:cs="新細明體"/>
              </w:rPr>
              <w:t>暨前揭客戶</w:t>
            </w:r>
            <w:r>
              <w:rPr>
                <w:rFonts w:hint="eastAsia" w:ascii="新細明體" w:hAnsi="新細明體" w:eastAsia="新細明體" w:cs="新細明體"/>
                <w:b/>
                <w:color w:val="FF0000 "/>
              </w:rPr>
              <w:t>之書面</w:t>
            </w:r>
            <w:r>
              <w:rPr>
                <w:rFonts w:hint="eastAsia" w:ascii="新細明體" w:hAnsi="新細明體" w:eastAsia="新細明體" w:cs="新細明體"/>
              </w:rPr>
              <w:t>同意書</w:t>
            </w:r>
            <w:r>
              <w:rPr>
                <w:rFonts w:hint="eastAsia" w:ascii="新細明體" w:hAnsi="新細明體" w:eastAsia="新細明體" w:cs="新細明體"/>
                <w:b/>
                <w:color w:val="FF0000 "/>
              </w:rPr>
              <w:t>影本</w:t>
            </w:r>
            <w:r>
              <w:rPr>
                <w:rFonts w:hint="eastAsia" w:ascii="新細明體" w:hAnsi="新細明體" w:eastAsia="新細明體" w:cs="新細明體"/>
              </w:rPr>
              <w:t>備查，原分</w:t>
            </w:r>
            <w:r>
              <w:rPr>
                <w:rFonts w:hint="eastAsia" w:ascii="新細明體" w:hAnsi="新細明體" w:eastAsia="新細明體" w:cs="新細明體"/>
                <w:b/>
                <w:color w:val="FF0000 "/>
              </w:rPr>
              <w:t>公司</w:t>
            </w:r>
            <w:r>
              <w:rPr>
                <w:rFonts w:hint="eastAsia" w:ascii="新細明體" w:hAnsi="新細明體" w:eastAsia="新細明體" w:cs="新細明體"/>
              </w:rPr>
              <w:t>於完成帳戶移轉後，應即註銷該帳戶。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(九)</w:t>
            </w:r>
            <w:r>
              <w:rPr>
                <w:rFonts w:hint="eastAsia" w:ascii="新細明體" w:hAnsi="新細明體" w:eastAsia="新細明體" w:cs="新細明體"/>
              </w:rPr>
              <w:t>公司與客戶訂立契約時，須有適當之人員審核簽約程序及客戶所提供資訊之完整性後，始得辦理。上開契約重要內容之說明，應依「金融服務業提供金融商品或服務前說明契約重要內容及揭露風險辦法」規定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(九)</w:t>
            </w:r>
            <w:r>
              <w:rPr>
                <w:rFonts w:hint="eastAsia" w:ascii="新細明體" w:hAnsi="新細明體" w:eastAsia="新細明體" w:cs="新細明體"/>
              </w:rPr>
              <w:t>公司與客戶訂立契約時，須有適當之人員審核簽約程序及客戶所提供資訊之完整性後，始得辦理。上開契約重要內容之說明，應依「金融服務業提供金融商品或服務前說明契約重要內容及揭露風險辦法」規定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(十)</w:t>
            </w:r>
            <w:r>
              <w:rPr>
                <w:rFonts w:hint="eastAsia" w:ascii="新細明體" w:hAnsi="新細明體" w:eastAsia="新細明體" w:cs="新細明體"/>
              </w:rPr>
              <w:t>未成年客戶屆齡成年前30日，應以雙掛號郵件或其他可確認意思表示到達之方式，告知其就下列補正程序擇一辦理，並造冊列管暨留存相關聯絡紀錄：</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(十)</w:t>
            </w:r>
            <w:r>
              <w:rPr>
                <w:rFonts w:hint="eastAsia" w:ascii="新細明體" w:hAnsi="新細明體" w:eastAsia="新細明體" w:cs="新細明體"/>
              </w:rPr>
              <w:t>未成年客戶屆齡成年前30日，應以雙掛號郵件或其他可確認意思表示到達之方式，告知其就下列補正程序擇一辦理，並造冊列管暨留存相關聯絡紀錄：</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原約終止，重簽新約：由客戶至原開戶營業處所親簽「註銷帳戶同意書」後，立即當場開立新帳戶，或於簽署同意書後，擇期另以通信、電子化等線上方式辦理開戶。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原約終止，重簽新約：由客戶至原開戶營業處所親簽「註銷帳戶同意書」後，立即當場開立新帳戶，或於簽署同意書後，擇期另以通信、電子化等線上方式辦理開戶。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原約存續，增補所需書件：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原約存續，增補所需書件：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回歸本人使用：客戶親至原開戶營業處所，或經由線上作業，證明確係本人後，於原「未成年子女法定代理人委託買賣權限同意書」、印鑑卡等文件，明確註記已予廢棄，但客戶後續如有變更印鑑等需求，仍應臨櫃洽辦。</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回歸本人使用：客戶親至原開戶營業處所，或經由線上作業，證明確係本人後，於原「未成年子女法定代理人委託買賣權限同意書」、印鑑卡等文件，明確註記已予廢棄，但客戶後續如有變更印鑑等需求，仍應臨櫃洽辦。</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委由他人代理：不論係委任父母或第三人處理買賣、申購有價證券或辦理交割等日常事務，客戶均應臨櫃補行簽具委任授權等相關書件暨變更印鑑卡。</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委由他人代理：不論係委任父母或第三人處理買賣、申購有價證券或辦理交割等日常事務，客戶均應臨櫃補行簽具委任授權等相關書件暨變更印鑑卡。</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99"/>
            </w:pPr>
            <w:r>
              <w:rPr>
                <w:rFonts w:hint="eastAsia" w:ascii="新細明體" w:hAnsi="新細明體" w:eastAsia="新細明體" w:cs="新細明體"/>
              </w:rPr>
              <w:t>依帳戶實際使用者之不同，所需嗣後補足之各項文件，應妥善附加裝訂於原契約後備查。</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99"/>
            </w:pPr>
            <w:r>
              <w:rPr>
                <w:rFonts w:hint="eastAsia" w:ascii="新細明體" w:hAnsi="新細明體" w:eastAsia="新細明體" w:cs="新細明體"/>
              </w:rPr>
              <w:t>依帳戶實際使用者之不同，所需嗣後補足之各項文件，應妥善附加裝訂於原契約後備查。</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99"/>
            </w:pPr>
            <w:r>
              <w:rPr>
                <w:rFonts w:hint="eastAsia" w:ascii="新細明體" w:hAnsi="新細明體" w:eastAsia="新細明體" w:cs="新細明體"/>
              </w:rPr>
              <w:t>屆齡成年前一營業日，仍未完成前揭任何補正程序者，應於次一營業日起暫停該帳戶使用，直至完成相關手續。</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99"/>
            </w:pPr>
            <w:r>
              <w:rPr>
                <w:rFonts w:hint="eastAsia" w:ascii="新細明體" w:hAnsi="新細明體" w:eastAsia="新細明體" w:cs="新細明體"/>
              </w:rPr>
              <w:t>屆齡成年前一營業日，仍未完成前揭任何補正程序者，應於次一營業日起暫停該帳戶使用，直至完成相關手續。</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(十一)</w:t>
            </w:r>
            <w:r>
              <w:rPr>
                <w:rFonts w:hint="eastAsia" w:ascii="新細明體" w:hAnsi="新細明體" w:eastAsia="新細明體" w:cs="新細明體"/>
              </w:rPr>
              <w:t>客戶開戶資料各欄位均應確實填載不得遺漏，如無該欄位事項者，亦應填具「無」以資明確。</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(十一)</w:t>
            </w:r>
            <w:r>
              <w:rPr>
                <w:rFonts w:hint="eastAsia" w:ascii="新細明體" w:hAnsi="新細明體" w:eastAsia="新細明體" w:cs="新細明體"/>
              </w:rPr>
              <w:t>客戶開戶資料各欄位均應確實填載不得遺漏，如無該欄位事項者，亦應填具「無」以資明確。</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(十二)</w:t>
            </w:r>
            <w:r>
              <w:rPr>
                <w:rFonts w:hint="eastAsia" w:ascii="新細明體" w:hAnsi="新細明體" w:eastAsia="新細明體" w:cs="新細明體"/>
              </w:rPr>
              <w:t>客戶親臨櫃檯或開戶人員陪同營業員親至客戶處辦理開戶事宜，如透過電子載具提供電子契約書及相關文件供投資人審閱簽署，應依下列事項辦理：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(十二)</w:t>
            </w:r>
            <w:r>
              <w:rPr>
                <w:rFonts w:hint="eastAsia" w:ascii="新細明體" w:hAnsi="新細明體" w:eastAsia="新細明體" w:cs="新細明體"/>
              </w:rPr>
              <w:t>客戶親臨櫃檯或開戶人員陪同營業員親至客戶處辦理開戶事宜，如透過電子載具提供電子契約書及相關文件供投資人審閱簽署，應依下列事項辦理：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客戶應簽署紙本聲明書，聲明下列事項：</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客戶應簽署紙本聲明書，聲明下列事項：</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同意以電子文件進行開戶。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同意以電子文件進行開戶。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已審閱契約書並經專人說明重要內容及各項風險。</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已審閱契約書並經專人說明重要內容及各項風險。</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電子開戶契約之電子簽章為本人親簽。</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電子開戶契約之電子簽章為本人親簽。</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客戶於平板電腦或行動電子設備上填寫電子開戶契約時，應拍照留存相關證件並簽名。</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客戶於平板電腦或行動電子設備上填寫電子開戶契約時，應拍照留存相關證件並簽名。</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於平板電腦或行動電子設備上之徵信與額度審核表上輸入資料，客戶若有提供財力證明，應拍照儲存。</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於平板電腦或行動電子設備上之徵信與額度審核表上輸入資料，客戶若有提供財力證明，應拍照儲存。</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應留存內部人員審核分層簽核紀錄。</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應留存內部人員審核分層簽核紀錄。</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開戶完成後，應提供客戶開戶文件及附件(含風險預告書)之電子文件，通知客戶並請其確認已完成開戶。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開戶完成後，應提供客戶開戶文件及附件(含風險預告書)之電子文件，通知客戶並請其確認已完成開戶。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4AABF765" w14:textId="77777777">
        <w:tc>
          <w:tcPr>
            <w:tcW w:w="1384" w:type="dxa"/>
            <w:vMerge/>
            <w:tcBorders>
              <w:left w:val="single" w:color="auto" w:sz="12" w:space="0"/>
              <w:bottom w:val="single" w:color="auto" w:sz="12" w:space="0"/>
            </w:tcBorders>
            <w:shd w:val="clear" w:color="auto" w:fill="auto"/>
          </w:tcPr>
          <w:p w:rsidR="003B3105" w:rsidP="001E533B" w:rsidRDefault="003B3105" w14:paraId="0967528F" w14:textId="77777777">
            <w:pPr>
              <w:rPr>
                <w:rFonts w:ascii="新細明體" w:hAnsi="新細明體" w:eastAsia="新細明體"/>
              </w:rPr>
            </w:pPr>
          </w:p>
        </w:tc>
        <w:tc>
          <w:tcPr>
            <w:tcW w:w="1276" w:type="dxa"/>
            <w:vMerge/>
            <w:tcBorders>
              <w:bottom w:val="single" w:color="auto" w:sz="12" w:space="0"/>
            </w:tcBorders>
            <w:shd w:val="clear" w:color="auto" w:fill="auto"/>
          </w:tcPr>
          <w:p w:rsidR="003B3105" w:rsidP="001E533B" w:rsidRDefault="003B3105" w14:paraId="5BD6DB17" w14:textId="77777777">
            <w:pPr>
              <w:rPr>
                <w:rFonts w:ascii="新細明體" w:hAnsi="新細明體" w:eastAsia="新細明體"/>
              </w:rPr>
            </w:pPr>
          </w:p>
        </w:tc>
        <w:tc>
          <w:tcPr>
            <w:tcW w:w="5386" w:type="dxa"/>
            <w:tcBorders>
              <w:top w:val="nil"/>
              <w:bottom w:val="single" w:color="auto" w:sz="12" w:space="0"/>
            </w:tcBorders>
            <w:shd w:val="clear" w:color="auto" w:fill="auto"/>
          </w:tcPr>
          <w:p w:rsidRPr="0068743F" w:rsidR="003B3105" w:rsidP="0027008E" w:rsidRDefault="0027008E" w14:paraId="5C9FE276" w14:textId="126A04A8">
            <w:pPr>
              <w:rPr>
                <w:rFonts w:ascii="新細明體" w:hAnsi="新細明體" w:eastAsia="新細明體" w:cs="新細明體"/>
              </w:rPr>
            </w:pPr>
            <w:r>
              <w:rPr>
                <w:rFonts w:hint="eastAsia" w:ascii="新細明體" w:hAnsi="新細明體" w:eastAsia="新細明體" w:cs="新細明體"/>
              </w:rPr>
              <w:t>註：財富管理業務之開戶採單一窗口作業者，與本章規定如有不同，以CA-19110規定為準。</w:t>
            </w:r>
          </w:p>
        </w:tc>
        <w:tc>
          <w:tcPr>
            <w:tcW w:w="5387" w:type="dxa"/>
            <w:tcBorders>
              <w:top w:val="nil"/>
              <w:bottom w:val="single" w:color="auto" w:sz="12" w:space="0"/>
            </w:tcBorders>
            <w:shd w:val="clear" w:color="auto" w:fill="auto"/>
          </w:tcPr>
          <w:p w:rsidRPr="00F6439B" w:rsidR="003B3105" w:rsidP="0027008E" w:rsidRDefault="0027008E" w14:paraId="7CBFB24A" w14:textId="08415A0E">
            <w:pPr>
              <w:spacing w:line="360" w:lineRule="exact"/>
              <w:rPr>
                <w:rFonts w:ascii="新細明體" w:hAnsi="新細明體" w:eastAsia="新細明體" w:cs="新細明體"/>
              </w:rPr>
            </w:pPr>
            <w:r>
              <w:rPr>
                <w:rFonts w:hint="eastAsia" w:ascii="新細明體" w:hAnsi="新細明體" w:eastAsia="新細明體" w:cs="新細明體"/>
              </w:rPr>
              <w:t>註：財富管理業務之開戶採單一窗口作業者，與本章規定如有不同，以CA-19110規定為準。</w:t>
            </w:r>
          </w:p>
        </w:tc>
        <w:tc>
          <w:tcPr>
            <w:tcW w:w="2023" w:type="dxa"/>
            <w:vMerge/>
            <w:tcBorders>
              <w:bottom w:val="single" w:color="auto" w:sz="12" w:space="0"/>
              <w:right w:val="single" w:color="auto" w:sz="12" w:space="0"/>
            </w:tcBorders>
            <w:shd w:val="clear" w:color="auto" w:fill="auto"/>
          </w:tcPr>
          <w:p w:rsidR="003B3105" w:rsidP="003B3105" w:rsidRDefault="003B3105" w14:paraId="6127B086" w14:textId="77777777">
            <w:pPr>
              <w:spacing w:line="360" w:lineRule="exact"/>
              <w:ind w:left="28" w:right="28"/>
              <w:rPr>
                <w:rFonts w:ascii="新細明體" w:hAnsi="新細明體" w:eastAsia="新細明體" w:cs="Times New Roman"/>
                <w:color w:val="FF0000"/>
                <w:spacing w:val="20"/>
                <w:szCs w:val="20"/>
                <w:u w:val="single"/>
              </w:rPr>
            </w:pPr>
          </w:p>
        </w:tc>
      </w:tr>
    </w:tbl>
    <w:p w:rsidRPr="00F6439B" w:rsidR="001E533B" w:rsidP="00A24FFC" w:rsidRDefault="001E533B" w14:paraId="423EBB0D" w14:textId="77777777">
      <w:pPr>
        <w:rPr>
          <w:rFonts w:ascii="新細明體" w:hAnsi="新細明體" w:eastAsia="新細明體"/>
        </w:rPr>
      </w:pPr>
    </w:p>
    <w:sectPr w:rsidRPr="00F6439B" w:rsidR="001E533B"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74005" w14:textId="77777777" w:rsidR="003F2929" w:rsidRDefault="003F2929" w:rsidP="00E87601">
      <w:pPr>
        <w:spacing w:line="240" w:lineRule="auto"/>
      </w:pPr>
      <w:r>
        <w:separator/>
      </w:r>
    </w:p>
  </w:endnote>
  <w:endnote w:type="continuationSeparator" w:id="0">
    <w:p w14:paraId="17EE3F88" w14:textId="77777777" w:rsidR="003F2929" w:rsidRDefault="003F2929"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D569C" w14:textId="77777777" w:rsidR="003F2929" w:rsidRDefault="003F2929" w:rsidP="00E87601">
      <w:pPr>
        <w:spacing w:line="240" w:lineRule="auto"/>
      </w:pPr>
      <w:r>
        <w:separator/>
      </w:r>
    </w:p>
  </w:footnote>
  <w:footnote w:type="continuationSeparator" w:id="0">
    <w:p w14:paraId="13DC15AB" w14:textId="77777777" w:rsidR="003F2929" w:rsidRDefault="003F2929"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grammar="clean"/>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30391B"/>
    <w:rsid w:val="003042D6"/>
    <w:rsid w:val="0031289E"/>
    <w:rsid w:val="0032634F"/>
    <w:rsid w:val="00354E9A"/>
    <w:rsid w:val="00360CA1"/>
    <w:rsid w:val="003757E9"/>
    <w:rsid w:val="003948F0"/>
    <w:rsid w:val="003B3105"/>
    <w:rsid w:val="003B5A2D"/>
    <w:rsid w:val="003B7480"/>
    <w:rsid w:val="003B7771"/>
    <w:rsid w:val="003C4C66"/>
    <w:rsid w:val="003F2929"/>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716CE"/>
    <w:rsid w:val="0057303B"/>
    <w:rsid w:val="00587858"/>
    <w:rsid w:val="00590586"/>
    <w:rsid w:val="005A67E0"/>
    <w:rsid w:val="005D293B"/>
    <w:rsid w:val="005E48B0"/>
    <w:rsid w:val="005E77C1"/>
    <w:rsid w:val="0061624E"/>
    <w:rsid w:val="00622D10"/>
    <w:rsid w:val="00651DC4"/>
    <w:rsid w:val="00655F5F"/>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820A8B"/>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459D9"/>
    <w:rsid w:val="00D73498"/>
    <w:rsid w:val="00DB54C8"/>
    <w:rsid w:val="00DB54EE"/>
    <w:rsid w:val="00DC16C9"/>
    <w:rsid w:val="00E055DE"/>
    <w:rsid w:val="00E17EAE"/>
    <w:rsid w:val="00E35783"/>
    <w:rsid w:val="00E520A8"/>
    <w:rsid w:val="00E6151B"/>
    <w:rsid w:val="00E8068F"/>
    <w:rsid w:val="00E87601"/>
    <w:rsid w:val="00EA2E15"/>
    <w:rsid w:val="00EB3A71"/>
    <w:rsid w:val="00EB3CD7"/>
    <w:rsid w:val="00EF791F"/>
    <w:rsid w:val="00F02C37"/>
    <w:rsid w:val="00F2266B"/>
    <w:rsid w:val="00F237EE"/>
    <w:rsid w:val="00F247E4"/>
    <w:rsid w:val="00F35FDD"/>
    <w:rsid w:val="00F6439B"/>
    <w:rsid w:val="00F86396"/>
    <w:rsid w:val="00FA5967"/>
    <w:rsid w:val="00FA7BF5"/>
    <w:rsid w:val="00FB3CAF"/>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14</Words>
  <Characters>86</Characters>
  <Application>Microsoft Office Word</Application>
  <DocSecurity>0</DocSecurity>
  <Lines>1</Lines>
  <Paragraphs>1</Paragraphs>
  <ScaleCrop>false</ScaleCrop>
  <Company>Hewlett-Packard Company</Company>
  <LinksUpToDate>false</LinksUpToDate>
  <CharactersWithSpaces>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Lawrence, Cheng 程昱偉</cp:lastModifiedBy>
  <cp:revision>13</cp:revision>
  <cp:lastPrinted>2004-03-09T19:20:00Z</cp:lastPrinted>
  <dcterms:created xsi:type="dcterms:W3CDTF">2025-04-18T10:47:00Z</dcterms:created>
  <dcterms:modified xsi:type="dcterms:W3CDTF">2025-09-09T08:25:00Z</dcterms:modified>
</cp:coreProperties>
</file>